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1954" w:hanging="1954"/>
        <w:jc w:val="center"/>
        <w:rPr>
          <w:rFonts w:ascii="宋体" w:cs="Times New Roman"/>
          <w:b/>
          <w:bCs/>
          <w:sz w:val="28"/>
          <w:szCs w:val="28"/>
        </w:rPr>
      </w:pPr>
      <w:r>
        <w:rPr>
          <w:rFonts w:hint="eastAsia" w:ascii="宋体" w:hAnsi="宋体" w:cs="宋体"/>
          <w:b/>
          <w:bCs/>
          <w:sz w:val="28"/>
          <w:szCs w:val="28"/>
        </w:rPr>
        <w:t>淮北市相王医药防疫站设备采购招标文件</w:t>
      </w:r>
    </w:p>
    <w:p>
      <w:pPr>
        <w:snapToGrid w:val="0"/>
        <w:spacing w:line="360" w:lineRule="auto"/>
        <w:ind w:left="3730" w:leftChars="981" w:hanging="1670" w:hangingChars="594"/>
        <w:jc w:val="left"/>
        <w:rPr>
          <w:rFonts w:ascii="宋体" w:cs="Times New Roman"/>
          <w:b/>
          <w:bCs/>
          <w:sz w:val="28"/>
          <w:szCs w:val="28"/>
        </w:rPr>
      </w:pPr>
    </w:p>
    <w:p>
      <w:pPr>
        <w:snapToGrid w:val="0"/>
        <w:spacing w:line="360" w:lineRule="auto"/>
        <w:ind w:left="1954" w:hanging="1954"/>
        <w:jc w:val="center"/>
        <w:rPr>
          <w:rFonts w:ascii="宋体" w:cs="Times New Roman"/>
          <w:b/>
          <w:bCs/>
          <w:sz w:val="28"/>
          <w:szCs w:val="28"/>
        </w:rPr>
      </w:pPr>
      <w:r>
        <w:rPr>
          <w:rFonts w:hint="eastAsia" w:ascii="宋体" w:hAnsi="宋体" w:cs="宋体"/>
          <w:b/>
          <w:bCs/>
          <w:sz w:val="28"/>
          <w:szCs w:val="28"/>
        </w:rPr>
        <w:t>第一部分投标须知</w:t>
      </w:r>
    </w:p>
    <w:p>
      <w:pPr>
        <w:snapToGrid w:val="0"/>
        <w:spacing w:line="360" w:lineRule="auto"/>
        <w:ind w:left="1868" w:leftChars="228" w:hanging="1389" w:hangingChars="494"/>
        <w:jc w:val="left"/>
        <w:rPr>
          <w:rFonts w:ascii="宋体" w:cs="Times New Roman"/>
          <w:sz w:val="28"/>
          <w:szCs w:val="28"/>
        </w:rPr>
      </w:pPr>
      <w:r>
        <w:rPr>
          <w:rFonts w:hint="eastAsia" w:ascii="宋体" w:hAnsi="宋体" w:cs="宋体"/>
          <w:b/>
          <w:bCs/>
          <w:sz w:val="28"/>
          <w:szCs w:val="28"/>
        </w:rPr>
        <w:t>一、项目名称：</w:t>
      </w:r>
      <w:r>
        <w:rPr>
          <w:rFonts w:hint="eastAsia" w:ascii="宋体" w:hAnsi="宋体" w:cs="宋体"/>
          <w:sz w:val="28"/>
          <w:szCs w:val="28"/>
        </w:rPr>
        <w:t>防疫站设备采购</w:t>
      </w:r>
    </w:p>
    <w:p>
      <w:pPr>
        <w:snapToGrid w:val="0"/>
        <w:spacing w:line="360" w:lineRule="auto"/>
        <w:ind w:left="1868" w:leftChars="228" w:hanging="1389" w:hangingChars="494"/>
        <w:jc w:val="left"/>
        <w:rPr>
          <w:rFonts w:ascii="宋体" w:hAnsi="宋体" w:cs="宋体"/>
          <w:sz w:val="28"/>
          <w:szCs w:val="28"/>
        </w:rPr>
      </w:pPr>
      <w:r>
        <w:rPr>
          <w:rFonts w:hint="eastAsia" w:ascii="宋体" w:hAnsi="宋体" w:cs="宋体"/>
          <w:b/>
          <w:bCs/>
          <w:sz w:val="28"/>
          <w:szCs w:val="28"/>
        </w:rPr>
        <w:t>二、招标人：</w:t>
      </w:r>
      <w:r>
        <w:rPr>
          <w:rFonts w:hint="eastAsia" w:ascii="宋体" w:hAnsi="宋体" w:cs="宋体"/>
          <w:sz w:val="28"/>
          <w:szCs w:val="28"/>
        </w:rPr>
        <w:t>淮北市相王医药连锁有限公司</w:t>
      </w:r>
    </w:p>
    <w:p>
      <w:pPr>
        <w:snapToGrid w:val="0"/>
        <w:spacing w:line="360" w:lineRule="auto"/>
        <w:ind w:left="1868" w:leftChars="228" w:hanging="1389" w:hangingChars="494"/>
        <w:jc w:val="left"/>
        <w:rPr>
          <w:rFonts w:ascii="宋体" w:cs="Times New Roman"/>
          <w:sz w:val="28"/>
          <w:szCs w:val="28"/>
        </w:rPr>
      </w:pPr>
      <w:r>
        <w:rPr>
          <w:rFonts w:hint="eastAsia" w:ascii="宋体" w:hAnsi="宋体" w:cs="宋体"/>
          <w:b/>
          <w:bCs/>
          <w:sz w:val="28"/>
          <w:szCs w:val="28"/>
        </w:rPr>
        <w:t>三、招标文件编号：</w:t>
      </w:r>
      <w:r>
        <w:rPr>
          <w:rFonts w:hint="eastAsia" w:ascii="宋体" w:hAnsi="宋体" w:cs="宋体"/>
          <w:sz w:val="28"/>
          <w:szCs w:val="28"/>
        </w:rPr>
        <w:t>相王医药采</w:t>
      </w:r>
      <w:r>
        <w:rPr>
          <w:rFonts w:ascii="宋体" w:hAnsi="宋体" w:cs="宋体"/>
          <w:sz w:val="28"/>
          <w:szCs w:val="28"/>
        </w:rPr>
        <w:t>20200</w:t>
      </w:r>
      <w:r>
        <w:rPr>
          <w:rFonts w:hint="eastAsia" w:ascii="宋体" w:hAnsi="宋体" w:cs="宋体"/>
          <w:sz w:val="28"/>
          <w:szCs w:val="28"/>
        </w:rPr>
        <w:t>916</w:t>
      </w:r>
    </w:p>
    <w:p>
      <w:pPr>
        <w:snapToGrid w:val="0"/>
        <w:spacing w:line="360" w:lineRule="auto"/>
        <w:ind w:left="1868" w:leftChars="228" w:hanging="1389" w:hangingChars="494"/>
        <w:jc w:val="left"/>
        <w:rPr>
          <w:rFonts w:ascii="宋体" w:hAnsi="宋体" w:cs="宋体"/>
          <w:sz w:val="28"/>
          <w:szCs w:val="28"/>
        </w:rPr>
      </w:pPr>
      <w:r>
        <w:rPr>
          <w:rFonts w:hint="eastAsia" w:ascii="宋体" w:hAnsi="宋体" w:cs="宋体"/>
          <w:b/>
          <w:bCs/>
          <w:sz w:val="28"/>
          <w:szCs w:val="28"/>
        </w:rPr>
        <w:t>四、项目内容：</w:t>
      </w:r>
      <w:r>
        <w:rPr>
          <w:rFonts w:hint="eastAsia" w:ascii="宋体" w:hAnsi="宋体" w:cs="宋体"/>
          <w:sz w:val="28"/>
          <w:szCs w:val="28"/>
        </w:rPr>
        <w:t>采购</w:t>
      </w:r>
      <w:r>
        <w:rPr>
          <w:rFonts w:hint="eastAsia" w:ascii="宋体" w:hAnsi="宋体"/>
          <w:sz w:val="28"/>
          <w:szCs w:val="28"/>
        </w:rPr>
        <w:t>顶空自动进样器一台为一包；另采购纯音听力计一台、声阻抗仪一台为二包。</w:t>
      </w:r>
    </w:p>
    <w:p>
      <w:pPr>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五、投标人资格</w:t>
      </w:r>
    </w:p>
    <w:p>
      <w:pPr>
        <w:snapToGrid w:val="0"/>
        <w:spacing w:line="360" w:lineRule="auto"/>
        <w:ind w:left="1119" w:leftChars="266" w:hanging="560" w:hangingChars="200"/>
        <w:rPr>
          <w:rFonts w:cs="Times New Roman"/>
          <w:sz w:val="28"/>
          <w:szCs w:val="28"/>
        </w:rPr>
      </w:pPr>
      <w:r>
        <w:rPr>
          <w:rFonts w:hint="eastAsia" w:cs="宋体"/>
          <w:sz w:val="28"/>
          <w:szCs w:val="28"/>
        </w:rPr>
        <w:t>（一）、在中华人民共和国境内注册</w:t>
      </w:r>
      <w:r>
        <w:rPr>
          <w:sz w:val="28"/>
          <w:szCs w:val="28"/>
        </w:rPr>
        <w:t>,</w:t>
      </w:r>
      <w:r>
        <w:rPr>
          <w:rFonts w:hint="eastAsia" w:cs="宋体"/>
          <w:sz w:val="28"/>
          <w:szCs w:val="28"/>
        </w:rPr>
        <w:t>有独立法人营业执照，有本次招标采购设备的生产许可证，代理经销的须有生产厂家授权经销证明。</w:t>
      </w:r>
    </w:p>
    <w:p>
      <w:pPr>
        <w:snapToGrid w:val="0"/>
        <w:spacing w:line="360" w:lineRule="auto"/>
        <w:ind w:left="1119" w:leftChars="266" w:hanging="560" w:hangingChars="200"/>
        <w:rPr>
          <w:rFonts w:cs="Times New Roman"/>
          <w:sz w:val="28"/>
          <w:szCs w:val="28"/>
        </w:rPr>
      </w:pPr>
      <w:r>
        <w:rPr>
          <w:rFonts w:hint="eastAsia" w:cs="宋体"/>
          <w:sz w:val="28"/>
          <w:szCs w:val="28"/>
        </w:rPr>
        <w:t>（二）、投标人须在近两年内参与的项目中，没有因违规、违纪受到处罚；参加投标的设备须在近两年内没有发生过重大质量、安全事故。</w:t>
      </w:r>
    </w:p>
    <w:p>
      <w:pPr>
        <w:snapToGrid w:val="0"/>
        <w:spacing w:line="360" w:lineRule="auto"/>
        <w:ind w:left="0" w:firstLine="562" w:firstLineChars="200"/>
        <w:rPr>
          <w:rFonts w:cs="Times New Roman"/>
          <w:b/>
          <w:bCs/>
          <w:sz w:val="28"/>
          <w:szCs w:val="28"/>
        </w:rPr>
      </w:pPr>
      <w:r>
        <w:rPr>
          <w:rFonts w:hint="eastAsia" w:cs="宋体"/>
          <w:b/>
          <w:bCs/>
          <w:sz w:val="28"/>
          <w:szCs w:val="28"/>
        </w:rPr>
        <w:t>六、投标保证金</w:t>
      </w:r>
    </w:p>
    <w:p>
      <w:pPr>
        <w:snapToGrid w:val="0"/>
        <w:spacing w:line="360" w:lineRule="auto"/>
        <w:ind w:left="1119" w:leftChars="266" w:hanging="560" w:hangingChars="200"/>
        <w:rPr>
          <w:rFonts w:cs="宋体"/>
          <w:sz w:val="28"/>
          <w:szCs w:val="28"/>
        </w:rPr>
      </w:pPr>
      <w:r>
        <w:rPr>
          <w:rFonts w:hint="eastAsia" w:cs="宋体"/>
          <w:sz w:val="28"/>
          <w:szCs w:val="28"/>
        </w:rPr>
        <w:t>（一）、投标人需缴纳投标保证金每包2000元。缴纳投标保证金须以现金方式在开标前现场提交。中标单位的投标保证金在履约保证金足额缴纳后无息退还；未中标单位投标保证金在定标后无息退还。</w:t>
      </w:r>
    </w:p>
    <w:p>
      <w:pPr>
        <w:snapToGrid w:val="0"/>
        <w:spacing w:line="360" w:lineRule="auto"/>
        <w:ind w:left="1119" w:leftChars="266" w:hanging="560" w:hangingChars="200"/>
        <w:rPr>
          <w:rFonts w:cs="宋体"/>
          <w:sz w:val="28"/>
          <w:szCs w:val="28"/>
        </w:rPr>
      </w:pPr>
      <w:r>
        <w:rPr>
          <w:rFonts w:hint="eastAsia" w:cs="宋体"/>
          <w:sz w:val="28"/>
          <w:szCs w:val="28"/>
        </w:rPr>
        <w:t>（二）、投标人在投标有效期内撤回投标文件、及投标人中标后不愿签订合同，其投标保证金不予退还。</w:t>
      </w:r>
    </w:p>
    <w:p>
      <w:pPr>
        <w:snapToGrid w:val="0"/>
        <w:spacing w:line="360" w:lineRule="auto"/>
        <w:ind w:left="0" w:firstLine="562" w:firstLineChars="200"/>
        <w:rPr>
          <w:rFonts w:cs="宋体"/>
          <w:b/>
          <w:bCs/>
          <w:sz w:val="28"/>
          <w:szCs w:val="28"/>
        </w:rPr>
      </w:pPr>
      <w:r>
        <w:rPr>
          <w:rFonts w:hint="eastAsia" w:cs="宋体"/>
          <w:b/>
          <w:bCs/>
          <w:sz w:val="28"/>
          <w:szCs w:val="28"/>
        </w:rPr>
        <w:t>七、中标服务费</w:t>
      </w:r>
    </w:p>
    <w:p>
      <w:pPr>
        <w:snapToGrid w:val="0"/>
        <w:spacing w:line="360" w:lineRule="auto"/>
        <w:ind w:left="1117" w:leftChars="532" w:firstLine="0" w:firstLineChars="0"/>
        <w:rPr>
          <w:rFonts w:cs="宋体"/>
          <w:sz w:val="28"/>
          <w:szCs w:val="28"/>
        </w:rPr>
      </w:pPr>
      <w:r>
        <w:rPr>
          <w:rFonts w:hint="eastAsia" w:cs="宋体"/>
          <w:sz w:val="28"/>
          <w:szCs w:val="28"/>
        </w:rPr>
        <w:t>中标人须缴纳2000元中标服务费。</w:t>
      </w:r>
    </w:p>
    <w:p>
      <w:pPr>
        <w:snapToGrid w:val="0"/>
        <w:spacing w:line="360" w:lineRule="auto"/>
        <w:ind w:left="0" w:firstLine="562" w:firstLineChars="200"/>
        <w:rPr>
          <w:rFonts w:cs="宋体"/>
          <w:b/>
          <w:bCs/>
          <w:sz w:val="28"/>
          <w:szCs w:val="28"/>
        </w:rPr>
      </w:pPr>
      <w:r>
        <w:rPr>
          <w:rFonts w:hint="eastAsia" w:cs="宋体"/>
          <w:b/>
          <w:bCs/>
          <w:sz w:val="28"/>
          <w:szCs w:val="28"/>
        </w:rPr>
        <w:t>八、履约保证金</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 中标单位应于接到中标通知书后的2日内向采购人指定账户打入成交金额10%的履约保证金，并在10个工作日内签订采购合同，在合同未签订前，项目参与书与采购书将构成约束双方的协议。若中标单位未在规定时间内缴纳履约保证金，并无正当理由的视为自动放弃中标资格。</w:t>
      </w:r>
    </w:p>
    <w:p>
      <w:pPr>
        <w:snapToGrid w:val="0"/>
        <w:spacing w:line="360" w:lineRule="auto"/>
        <w:ind w:left="0" w:firstLine="562" w:firstLineChars="200"/>
        <w:jc w:val="left"/>
        <w:rPr>
          <w:rFonts w:ascii="宋体" w:cs="Times New Roman"/>
          <w:b/>
          <w:bCs/>
          <w:sz w:val="28"/>
          <w:szCs w:val="28"/>
        </w:rPr>
      </w:pPr>
      <w:r>
        <w:rPr>
          <w:rFonts w:hint="eastAsia" w:ascii="宋体" w:hAnsi="宋体" w:cs="宋体"/>
          <w:b/>
          <w:bCs/>
          <w:sz w:val="28"/>
          <w:szCs w:val="28"/>
        </w:rPr>
        <w:t>九、招标时间安排</w:t>
      </w:r>
    </w:p>
    <w:p>
      <w:pPr>
        <w:snapToGrid w:val="0"/>
        <w:spacing w:line="360" w:lineRule="auto"/>
        <w:ind w:left="0" w:firstLine="560" w:firstLineChars="200"/>
        <w:jc w:val="left"/>
        <w:rPr>
          <w:sz w:val="28"/>
          <w:szCs w:val="28"/>
        </w:rPr>
      </w:pPr>
      <w:r>
        <w:rPr>
          <w:rFonts w:hint="eastAsia" w:cs="宋体"/>
          <w:sz w:val="28"/>
          <w:szCs w:val="28"/>
        </w:rPr>
        <w:t>（一）、开标时间：</w:t>
      </w:r>
      <w:r>
        <w:rPr>
          <w:sz w:val="28"/>
          <w:szCs w:val="28"/>
        </w:rPr>
        <w:t>2020</w:t>
      </w:r>
      <w:r>
        <w:rPr>
          <w:rFonts w:hint="eastAsia" w:cs="宋体"/>
          <w:sz w:val="28"/>
          <w:szCs w:val="28"/>
        </w:rPr>
        <w:t>年</w:t>
      </w:r>
      <w:r>
        <w:rPr>
          <w:rFonts w:hint="eastAsia"/>
          <w:sz w:val="28"/>
          <w:szCs w:val="28"/>
        </w:rPr>
        <w:t>9</w:t>
      </w:r>
      <w:r>
        <w:rPr>
          <w:rFonts w:hint="eastAsia" w:cs="宋体"/>
          <w:sz w:val="28"/>
          <w:szCs w:val="28"/>
        </w:rPr>
        <w:t>月 23 日下午3时</w:t>
      </w:r>
    </w:p>
    <w:p>
      <w:pPr>
        <w:snapToGrid w:val="0"/>
        <w:spacing w:line="360" w:lineRule="auto"/>
        <w:ind w:left="0" w:firstLine="560" w:firstLineChars="200"/>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号皖北康复医院医院，</w:t>
      </w:r>
      <w:r>
        <w:rPr>
          <w:sz w:val="28"/>
          <w:szCs w:val="28"/>
        </w:rPr>
        <w:t>7</w:t>
      </w:r>
      <w:r>
        <w:rPr>
          <w:rFonts w:hint="eastAsia" w:cs="宋体"/>
          <w:sz w:val="28"/>
          <w:szCs w:val="28"/>
        </w:rPr>
        <w:t>号楼</w:t>
      </w:r>
      <w:r>
        <w:rPr>
          <w:sz w:val="28"/>
          <w:szCs w:val="28"/>
        </w:rPr>
        <w:t>2</w:t>
      </w:r>
      <w:r>
        <w:rPr>
          <w:rFonts w:hint="eastAsia" w:cs="宋体"/>
          <w:sz w:val="28"/>
          <w:szCs w:val="28"/>
        </w:rPr>
        <w:t>楼会议室。</w:t>
      </w:r>
    </w:p>
    <w:p>
      <w:pPr>
        <w:tabs>
          <w:tab w:val="left" w:pos="523"/>
        </w:tabs>
        <w:snapToGrid w:val="0"/>
        <w:spacing w:line="360" w:lineRule="auto"/>
        <w:ind w:left="1119" w:leftChars="266" w:hanging="560" w:hangingChars="200"/>
        <w:jc w:val="left"/>
        <w:rPr>
          <w:rFonts w:cs="Times New Roman"/>
          <w:sz w:val="28"/>
          <w:szCs w:val="28"/>
        </w:rPr>
      </w:pPr>
      <w:r>
        <w:rPr>
          <w:rFonts w:hint="eastAsia" w:cs="宋体"/>
          <w:sz w:val="28"/>
          <w:szCs w:val="28"/>
        </w:rPr>
        <w:t>（三）、投标截止时间：开标之前30分钟。</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rPr>
        <w:t>十、投标文件的澄清与说明</w:t>
      </w:r>
    </w:p>
    <w:p>
      <w:pPr>
        <w:tabs>
          <w:tab w:val="left" w:pos="523"/>
        </w:tabs>
        <w:snapToGrid w:val="0"/>
        <w:spacing w:line="360" w:lineRule="auto"/>
        <w:ind w:left="1117" w:leftChars="532" w:firstLine="0" w:firstLineChars="0"/>
        <w:jc w:val="left"/>
        <w:rPr>
          <w:rFonts w:hint="eastAsia" w:cs="宋体"/>
          <w:sz w:val="28"/>
          <w:szCs w:val="28"/>
        </w:rPr>
      </w:pPr>
      <w:bookmarkStart w:id="2" w:name="_GoBack"/>
      <w:bookmarkEnd w:id="2"/>
      <w:r>
        <w:rPr>
          <w:rFonts w:hint="eastAsia" w:cs="宋体"/>
          <w:sz w:val="28"/>
          <w:szCs w:val="28"/>
        </w:rPr>
        <w:t>投标人如对招标文件提出质疑，请在2020年9月20日</w:t>
      </w:r>
      <w:r>
        <w:rPr>
          <w:rFonts w:hint="eastAsia" w:cs="宋体"/>
          <w:sz w:val="28"/>
          <w:szCs w:val="28"/>
          <w:lang w:eastAsia="zh-CN"/>
        </w:rPr>
        <w:t>下午</w:t>
      </w:r>
      <w:r>
        <w:rPr>
          <w:rFonts w:hint="eastAsia" w:cs="宋体"/>
          <w:sz w:val="28"/>
          <w:szCs w:val="28"/>
          <w:lang w:val="en-US" w:eastAsia="zh-CN"/>
        </w:rPr>
        <w:t>5</w:t>
      </w:r>
      <w:r>
        <w:rPr>
          <w:rFonts w:hint="eastAsia" w:cs="宋体"/>
          <w:sz w:val="28"/>
          <w:szCs w:val="28"/>
        </w:rPr>
        <w:t>时前以不署名电子邮件形式发送至邮箱271402092 @QQ.com，招标人于2020年9月21日下午5 时前在安徽皖北康复医院官网予以公告统一答复，逾期的质疑概不受理，开标后不得对招标文件的内容或条款提出质疑。</w:t>
      </w:r>
    </w:p>
    <w:p>
      <w:pPr>
        <w:pStyle w:val="2"/>
        <w:snapToGrid w:val="0"/>
        <w:spacing w:line="360" w:lineRule="auto"/>
        <w:ind w:left="0" w:leftChars="0" w:firstLine="562" w:firstLineChars="200"/>
        <w:jc w:val="left"/>
        <w:rPr>
          <w:rFonts w:hint="eastAsia" w:ascii="宋体" w:hAnsi="宋体" w:cs="宋体"/>
        </w:rPr>
      </w:pPr>
      <w:r>
        <w:rPr>
          <w:rFonts w:hint="eastAsia" w:ascii="宋体" w:hAnsi="宋体" w:cs="宋体"/>
          <w:b/>
          <w:bCs/>
        </w:rPr>
        <w:t>十一、评标办法：</w:t>
      </w:r>
      <w:r>
        <w:rPr>
          <w:rFonts w:hint="eastAsia" w:ascii="宋体" w:hAnsi="宋体" w:cs="宋体"/>
        </w:rPr>
        <w:t>综合评分法</w:t>
      </w:r>
    </w:p>
    <w:p>
      <w:pPr>
        <w:pStyle w:val="2"/>
        <w:snapToGrid w:val="0"/>
        <w:spacing w:line="360" w:lineRule="auto"/>
        <w:ind w:left="0" w:leftChars="0" w:firstLine="562" w:firstLineChars="200"/>
        <w:jc w:val="left"/>
        <w:rPr>
          <w:rFonts w:ascii="宋体"/>
          <w:b/>
          <w:bCs/>
        </w:rPr>
      </w:pPr>
      <w:r>
        <w:rPr>
          <w:rFonts w:hint="eastAsia" w:ascii="宋体" w:hAnsi="宋体" w:cs="宋体"/>
          <w:b/>
          <w:bCs/>
        </w:rPr>
        <w:t>十二、投标文件</w:t>
      </w:r>
    </w:p>
    <w:p>
      <w:pPr>
        <w:pStyle w:val="2"/>
        <w:snapToGrid w:val="0"/>
        <w:spacing w:line="360" w:lineRule="auto"/>
        <w:ind w:left="839" w:leftChars="266" w:hanging="280" w:hangingChars="100"/>
        <w:jc w:val="left"/>
        <w:rPr>
          <w:rFonts w:ascii="宋体"/>
        </w:rPr>
      </w:pPr>
      <w:r>
        <w:rPr>
          <w:rFonts w:hint="eastAsia" w:cs="宋体"/>
        </w:rPr>
        <w:t>（一）</w:t>
      </w:r>
      <w:r>
        <w:rPr>
          <w:rFonts w:hint="eastAsia" w:ascii="宋体" w:hAnsi="宋体" w:cs="宋体"/>
        </w:rPr>
        <w:t>、投标人应交送</w:t>
      </w:r>
      <w:r>
        <w:rPr>
          <w:rFonts w:ascii="宋体" w:hAnsi="宋体" w:cs="宋体"/>
          <w:b/>
          <w:bCs/>
        </w:rPr>
        <w:t>5</w:t>
      </w:r>
      <w:r>
        <w:rPr>
          <w:rFonts w:hint="eastAsia" w:ascii="宋体" w:hAnsi="宋体" w:cs="宋体"/>
        </w:rPr>
        <w:t>份纸质投标文件，标有正本（</w:t>
      </w:r>
      <w:r>
        <w:rPr>
          <w:rFonts w:ascii="宋体" w:hAnsi="宋体" w:cs="宋体"/>
          <w:b/>
          <w:bCs/>
        </w:rPr>
        <w:t>1</w:t>
      </w:r>
      <w:r>
        <w:rPr>
          <w:rFonts w:hint="eastAsia" w:ascii="宋体" w:hAnsi="宋体" w:cs="宋体"/>
        </w:rPr>
        <w:t>份），副本（</w:t>
      </w:r>
      <w:r>
        <w:rPr>
          <w:rFonts w:ascii="宋体" w:hAnsi="宋体" w:cs="宋体"/>
          <w:b/>
          <w:bCs/>
        </w:rPr>
        <w:t>4</w:t>
      </w:r>
      <w:r>
        <w:rPr>
          <w:rFonts w:hint="eastAsia" w:ascii="宋体" w:hAnsi="宋体" w:cs="宋体"/>
        </w:rPr>
        <w:t>份）。电子版投标文件</w:t>
      </w:r>
      <w:r>
        <w:rPr>
          <w:rFonts w:ascii="宋体" w:hAnsi="宋体" w:cs="宋体"/>
        </w:rPr>
        <w:t>1</w:t>
      </w:r>
      <w:r>
        <w:rPr>
          <w:rFonts w:hint="eastAsia" w:ascii="宋体" w:hAnsi="宋体" w:cs="宋体"/>
        </w:rPr>
        <w:t>份（光盘</w:t>
      </w:r>
      <w:r>
        <w:rPr>
          <w:rFonts w:ascii="宋体" w:hAnsi="宋体" w:cs="宋体"/>
        </w:rPr>
        <w:t>U</w:t>
      </w:r>
      <w:r>
        <w:rPr>
          <w:rFonts w:hint="eastAsia" w:ascii="宋体" w:hAnsi="宋体" w:cs="宋体"/>
        </w:rPr>
        <w:t>盘均可），</w:t>
      </w:r>
      <w:r>
        <w:rPr>
          <w:rFonts w:hint="eastAsia" w:ascii="宋体" w:hAnsi="宋体" w:cs="宋体"/>
          <w:b/>
          <w:bCs/>
        </w:rPr>
        <w:t>电子版投标文件内容须与纸质投标文件完全相同。</w:t>
      </w:r>
    </w:p>
    <w:p>
      <w:pPr>
        <w:pStyle w:val="2"/>
        <w:snapToGrid w:val="0"/>
        <w:spacing w:line="360" w:lineRule="auto"/>
        <w:ind w:left="0" w:firstLine="560" w:firstLineChars="200"/>
        <w:jc w:val="left"/>
        <w:rPr>
          <w:rFonts w:ascii="宋体"/>
        </w:rPr>
      </w:pPr>
      <w:r>
        <w:rPr>
          <w:rFonts w:hint="eastAsia" w:cs="宋体"/>
        </w:rPr>
        <w:t>（二）</w:t>
      </w:r>
      <w:r>
        <w:rPr>
          <w:rFonts w:hint="eastAsia" w:ascii="宋体" w:hAnsi="宋体" w:cs="宋体"/>
        </w:rPr>
        <w:t>、投标文件须盖投标人公章，并有法定代表人或委托代理人的签名。</w:t>
      </w:r>
    </w:p>
    <w:p>
      <w:pPr>
        <w:pStyle w:val="2"/>
        <w:snapToGrid w:val="0"/>
        <w:spacing w:line="360" w:lineRule="auto"/>
        <w:ind w:left="1119" w:leftChars="266" w:hanging="560" w:hangingChars="200"/>
        <w:jc w:val="left"/>
        <w:rPr>
          <w:rFonts w:ascii="宋体"/>
        </w:rPr>
      </w:pPr>
      <w:r>
        <w:rPr>
          <w:rFonts w:hint="eastAsia" w:cs="宋体"/>
        </w:rPr>
        <w:t>（三）</w:t>
      </w:r>
      <w:r>
        <w:rPr>
          <w:rFonts w:hint="eastAsia" w:ascii="宋体" w:hAnsi="宋体" w:cs="宋体"/>
        </w:rPr>
        <w:t>、投标文件的正、副本应密封包装，封口处贴封条并骑缝加盖公章。封面注明招标项目和招标单位、投标人名称，并注明“开标时启封”字样。投标文件不按规定密封视为无效。</w:t>
      </w:r>
      <w:r>
        <w:rPr>
          <w:rFonts w:hint="eastAsia" w:ascii="宋体" w:hAnsi="宋体" w:cs="宋体"/>
          <w:b/>
          <w:bCs/>
        </w:rPr>
        <w:t>电子版投标文件须单独密封，并注明投标人名称。无电子版投标文件，招标方拒绝接受投标方的投标文件。</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（四）、投标文件须实质性响应招标文件的要求，实质性内容是指物资采购数量、投标方案、主要技术规格、主要合同条款等，招标文件中要求的</w:t>
      </w:r>
      <w:r>
        <w:rPr>
          <w:rFonts w:hint="eastAsia" w:ascii="宋体" w:cs="宋体"/>
          <w:sz w:val="28"/>
          <w:szCs w:val="28"/>
        </w:rPr>
        <w:t>“</w:t>
      </w:r>
      <w:r>
        <w:rPr>
          <w:rFonts w:hint="eastAsia" w:ascii="宋体" w:hAnsi="宋体" w:cs="宋体"/>
          <w:sz w:val="28"/>
          <w:szCs w:val="28"/>
        </w:rPr>
        <w:t>投标文件编制内容</w:t>
      </w:r>
      <w:r>
        <w:rPr>
          <w:rFonts w:hint="eastAsia" w:ascii="宋体" w:cs="宋体"/>
          <w:sz w:val="28"/>
          <w:szCs w:val="28"/>
        </w:rPr>
        <w:t>”</w:t>
      </w:r>
      <w:r>
        <w:rPr>
          <w:rFonts w:hint="eastAsia" w:ascii="宋体" w:hAnsi="宋体" w:cs="宋体"/>
          <w:sz w:val="28"/>
          <w:szCs w:val="28"/>
        </w:rPr>
        <w:t>，投标文件不得漏项，如有漏项，视为没有</w:t>
      </w:r>
      <w:r>
        <w:rPr>
          <w:rFonts w:hint="eastAsia" w:ascii="宋体" w:cs="宋体"/>
          <w:sz w:val="28"/>
          <w:szCs w:val="28"/>
        </w:rPr>
        <w:t>“</w:t>
      </w:r>
      <w:r>
        <w:rPr>
          <w:rFonts w:hint="eastAsia" w:ascii="宋体" w:hAnsi="宋体" w:cs="宋体"/>
          <w:sz w:val="28"/>
          <w:szCs w:val="28"/>
        </w:rPr>
        <w:t>实质性</w:t>
      </w:r>
      <w:r>
        <w:rPr>
          <w:rFonts w:hint="eastAsia" w:ascii="宋体" w:cs="宋体"/>
          <w:sz w:val="28"/>
          <w:szCs w:val="28"/>
        </w:rPr>
        <w:t>”</w:t>
      </w:r>
      <w:r>
        <w:rPr>
          <w:rFonts w:hint="eastAsia" w:ascii="宋体" w:hAnsi="宋体" w:cs="宋体"/>
          <w:sz w:val="28"/>
          <w:szCs w:val="28"/>
        </w:rPr>
        <w:t>响应招标文件。</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（六）、投标人应保证投标文件及资料均未侵犯他人的知识产权，否则投标人必须承担由此引起的全部法律责任和经济责任。</w:t>
      </w:r>
    </w:p>
    <w:p>
      <w:pPr>
        <w:pStyle w:val="2"/>
        <w:snapToGrid w:val="0"/>
        <w:spacing w:line="360" w:lineRule="auto"/>
        <w:ind w:left="0" w:firstLine="560" w:firstLineChars="200"/>
        <w:jc w:val="left"/>
        <w:rPr>
          <w:rFonts w:ascii="宋体"/>
        </w:rPr>
      </w:pPr>
      <w:r>
        <w:rPr>
          <w:rFonts w:hint="eastAsia" w:ascii="宋体" w:hAnsi="宋体" w:cs="宋体"/>
        </w:rPr>
        <w:t>（七）、若投标人使用了他人的专利、专有技术，涉及的费用由投标人负责。</w:t>
      </w:r>
    </w:p>
    <w:p>
      <w:pPr>
        <w:pStyle w:val="2"/>
        <w:snapToGrid w:val="0"/>
        <w:spacing w:line="360" w:lineRule="auto"/>
        <w:ind w:left="839" w:leftChars="266" w:hanging="280" w:hangingChars="100"/>
        <w:jc w:val="left"/>
        <w:rPr>
          <w:rFonts w:ascii="宋体"/>
        </w:rPr>
      </w:pPr>
      <w:r>
        <w:rPr>
          <w:rFonts w:hint="eastAsia" w:ascii="宋体" w:hAnsi="宋体" w:cs="宋体"/>
        </w:rPr>
        <w:t>（八）、招标人不接受投标人对任何未办理正常进口手续的非中华人民共和国境内生产的货物的投标报价。</w:t>
      </w:r>
    </w:p>
    <w:p>
      <w:pPr>
        <w:pStyle w:val="2"/>
        <w:snapToGrid w:val="0"/>
        <w:spacing w:line="360" w:lineRule="auto"/>
        <w:ind w:left="839" w:leftChars="266" w:hanging="280" w:hangingChars="100"/>
        <w:jc w:val="left"/>
        <w:rPr>
          <w:rFonts w:ascii="宋体"/>
        </w:rPr>
      </w:pPr>
      <w:r>
        <w:rPr>
          <w:rFonts w:hint="eastAsia" w:ascii="宋体" w:hAnsi="宋体" w:cs="宋体"/>
        </w:rPr>
        <w:t>（九）、投标人如对招标文件部分条款有异议，可在投标文件的“商务偏离表”和“技术偏离表”中填写，但无论如何，投标设备须完全满足招标文件提出的技术和使用条件。否则，可能造成无效投标。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十三、</w:t>
      </w:r>
      <w:r>
        <w:rPr>
          <w:rFonts w:hint="eastAsia" w:cs="宋体"/>
          <w:b/>
          <w:bCs/>
          <w:sz w:val="28"/>
          <w:szCs w:val="28"/>
        </w:rPr>
        <w:t>下列情况之一者为废标：</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（一）、没有按照招标文件要求提交投标保证金的；</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（二）、投标人不符合国家或者招标文件规定的资格条件的；</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（三）、投标人的投标报价多于一个，且未指定以哪个为准；</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（四）、投标文件未盖公章及法定代表人或委托代理人印章（或签名）；</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（五）、投标文件未按招标文件规定的格式和要求编制；</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（六）、没有对招标文件提出的要求和条件作出实质性响应的；</w:t>
      </w:r>
    </w:p>
    <w:p>
      <w:pPr>
        <w:autoSpaceDE w:val="0"/>
        <w:autoSpaceDN w:val="0"/>
        <w:adjustRightInd w:val="0"/>
        <w:snapToGrid w:val="0"/>
        <w:spacing w:line="360" w:lineRule="auto"/>
        <w:ind w:left="565" w:leftChars="269" w:firstLine="0" w:firstLineChars="0"/>
        <w:jc w:val="left"/>
        <w:rPr>
          <w:rFonts w:cs="Times New Roman"/>
          <w:b/>
          <w:bCs/>
          <w:sz w:val="28"/>
          <w:szCs w:val="28"/>
        </w:rPr>
      </w:pPr>
      <w:r>
        <w:rPr>
          <w:rFonts w:hint="eastAsia" w:cs="宋体"/>
          <w:b/>
          <w:bCs/>
          <w:sz w:val="28"/>
          <w:szCs w:val="28"/>
        </w:rPr>
        <w:t>（七）、串通投标、以行贿手段谋取中标、以他人名义或者其他弄虚作假方式投</w:t>
      </w:r>
    </w:p>
    <w:p>
      <w:pPr>
        <w:autoSpaceDE w:val="0"/>
        <w:autoSpaceDN w:val="0"/>
        <w:adjustRightInd w:val="0"/>
        <w:snapToGrid w:val="0"/>
        <w:spacing w:line="360" w:lineRule="auto"/>
        <w:ind w:left="565" w:leftChars="269" w:firstLine="562" w:firstLineChars="200"/>
        <w:jc w:val="left"/>
        <w:rPr>
          <w:rFonts w:ascii="宋体" w:cs="Times New Roman"/>
          <w:b/>
          <w:bCs/>
          <w:sz w:val="28"/>
          <w:szCs w:val="28"/>
        </w:rPr>
      </w:pPr>
      <w:r>
        <w:rPr>
          <w:rFonts w:hint="eastAsia" w:cs="宋体"/>
          <w:b/>
          <w:bCs/>
          <w:sz w:val="28"/>
          <w:szCs w:val="28"/>
        </w:rPr>
        <w:t>标的；</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（八）、带有★标的参数出现负偏离的；</w:t>
      </w:r>
    </w:p>
    <w:p>
      <w:pPr>
        <w:autoSpaceDE w:val="0"/>
        <w:autoSpaceDN w:val="0"/>
        <w:adjustRightInd w:val="0"/>
        <w:snapToGrid w:val="0"/>
        <w:spacing w:line="360" w:lineRule="auto"/>
        <w:ind w:left="1954" w:leftChars="269" w:hanging="1389" w:hangingChars="494"/>
        <w:jc w:val="left"/>
        <w:rPr>
          <w:rFonts w:ascii="宋体" w:cs="Times New Roman"/>
          <w:sz w:val="28"/>
          <w:szCs w:val="28"/>
        </w:rPr>
      </w:pPr>
      <w:r>
        <w:rPr>
          <w:rFonts w:hint="eastAsia" w:cs="宋体"/>
          <w:b/>
          <w:bCs/>
          <w:sz w:val="28"/>
          <w:szCs w:val="28"/>
        </w:rPr>
        <w:t>（九）、评委会一致确认应属于废标的其它严重情况。</w:t>
      </w:r>
    </w:p>
    <w:p>
      <w:pPr>
        <w:snapToGrid w:val="0"/>
        <w:spacing w:line="360" w:lineRule="auto"/>
        <w:ind w:left="1961" w:leftChars="934" w:firstLine="295" w:firstLineChars="105"/>
        <w:jc w:val="left"/>
        <w:rPr>
          <w:rFonts w:ascii="宋体" w:cs="Times New Roman"/>
          <w:sz w:val="28"/>
          <w:szCs w:val="28"/>
        </w:rPr>
      </w:pPr>
      <w:r>
        <w:rPr>
          <w:rFonts w:hint="eastAsia" w:ascii="宋体" w:hAnsi="宋体" w:cs="宋体"/>
          <w:b/>
          <w:bCs/>
          <w:sz w:val="28"/>
          <w:szCs w:val="28"/>
        </w:rPr>
        <w:t>第二部分投标文件的编制内容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二、投标文件应包括以下内容，并按照以下顺序装订</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（一）、投标报价函；</w:t>
      </w:r>
    </w:p>
    <w:p>
      <w:pPr>
        <w:snapToGrid w:val="0"/>
        <w:spacing w:line="360" w:lineRule="auto"/>
        <w:ind w:left="0" w:firstLine="560" w:firstLineChars="200"/>
        <w:jc w:val="left"/>
        <w:rPr>
          <w:rFonts w:cs="Times New Roman"/>
          <w:sz w:val="28"/>
          <w:szCs w:val="28"/>
        </w:rPr>
      </w:pPr>
      <w:r>
        <w:rPr>
          <w:rFonts w:hint="eastAsia" w:cs="宋体"/>
          <w:sz w:val="28"/>
          <w:szCs w:val="28"/>
        </w:rPr>
        <w:t>（二）、法定代表人资格证明和法定代表人的授权委托书；</w:t>
      </w:r>
    </w:p>
    <w:p>
      <w:pPr>
        <w:snapToGrid w:val="0"/>
        <w:spacing w:line="360" w:lineRule="auto"/>
        <w:ind w:left="0" w:firstLine="560" w:firstLineChars="200"/>
        <w:jc w:val="left"/>
        <w:rPr>
          <w:rFonts w:cs="Times New Roman"/>
          <w:sz w:val="28"/>
          <w:szCs w:val="28"/>
        </w:rPr>
      </w:pPr>
      <w:r>
        <w:rPr>
          <w:rFonts w:hint="eastAsia" w:cs="宋体"/>
          <w:sz w:val="28"/>
          <w:szCs w:val="28"/>
        </w:rPr>
        <w:t>（三）、</w:t>
      </w:r>
      <w:r>
        <w:rPr>
          <w:rFonts w:hint="eastAsia" w:ascii="宋体" w:hAnsi="宋体" w:cs="宋体"/>
          <w:sz w:val="28"/>
          <w:szCs w:val="28"/>
        </w:rPr>
        <w:t>投标设备报价汇总表</w:t>
      </w:r>
      <w:r>
        <w:rPr>
          <w:rFonts w:hint="eastAsia" w:cs="宋体"/>
          <w:sz w:val="28"/>
          <w:szCs w:val="28"/>
        </w:rPr>
        <w:t>；</w:t>
      </w:r>
    </w:p>
    <w:p>
      <w:pPr>
        <w:snapToGrid w:val="0"/>
        <w:spacing w:line="360" w:lineRule="auto"/>
        <w:ind w:left="0" w:firstLine="560" w:firstLineChars="200"/>
        <w:jc w:val="left"/>
        <w:rPr>
          <w:rFonts w:cs="Times New Roman"/>
          <w:sz w:val="28"/>
          <w:szCs w:val="28"/>
        </w:rPr>
      </w:pPr>
      <w:r>
        <w:rPr>
          <w:rFonts w:hint="eastAsia" w:cs="宋体"/>
          <w:sz w:val="28"/>
          <w:szCs w:val="28"/>
        </w:rPr>
        <w:t>（四）、</w:t>
      </w:r>
      <w:r>
        <w:rPr>
          <w:rFonts w:hint="eastAsia" w:ascii="宋体" w:hAnsi="宋体" w:cs="宋体"/>
          <w:sz w:val="28"/>
          <w:szCs w:val="28"/>
        </w:rPr>
        <w:t>投标设备备品、备件及专用工具清单；</w:t>
      </w:r>
    </w:p>
    <w:p>
      <w:pPr>
        <w:snapToGrid w:val="0"/>
        <w:spacing w:line="360" w:lineRule="auto"/>
        <w:ind w:left="0" w:firstLine="560" w:firstLineChars="200"/>
        <w:jc w:val="left"/>
        <w:rPr>
          <w:rFonts w:cs="Times New Roman"/>
          <w:sz w:val="28"/>
          <w:szCs w:val="28"/>
        </w:rPr>
      </w:pPr>
      <w:r>
        <w:rPr>
          <w:rFonts w:hint="eastAsia" w:cs="宋体"/>
          <w:sz w:val="28"/>
          <w:szCs w:val="28"/>
        </w:rPr>
        <w:t>（五）、投标报价中不包含的易损件报价表；</w:t>
      </w:r>
    </w:p>
    <w:p>
      <w:pPr>
        <w:snapToGrid w:val="0"/>
        <w:spacing w:line="360" w:lineRule="auto"/>
        <w:ind w:left="0" w:firstLine="560" w:firstLineChars="200"/>
        <w:jc w:val="left"/>
        <w:rPr>
          <w:rFonts w:cs="Times New Roman"/>
          <w:sz w:val="28"/>
          <w:szCs w:val="28"/>
        </w:rPr>
      </w:pPr>
      <w:r>
        <w:rPr>
          <w:rFonts w:hint="eastAsia" w:cs="宋体"/>
          <w:sz w:val="28"/>
          <w:szCs w:val="28"/>
        </w:rPr>
        <w:t>（六）、技术说明；</w:t>
      </w:r>
    </w:p>
    <w:p>
      <w:pPr>
        <w:snapToGrid w:val="0"/>
        <w:spacing w:line="360" w:lineRule="auto"/>
        <w:ind w:left="0" w:firstLine="560" w:firstLineChars="200"/>
        <w:jc w:val="left"/>
        <w:rPr>
          <w:rFonts w:cs="Times New Roman"/>
          <w:sz w:val="28"/>
          <w:szCs w:val="28"/>
        </w:rPr>
      </w:pPr>
      <w:r>
        <w:rPr>
          <w:rFonts w:hint="eastAsia" w:cs="宋体"/>
          <w:sz w:val="28"/>
          <w:szCs w:val="28"/>
        </w:rPr>
        <w:t>（七）、安装施工方案；</w:t>
      </w:r>
    </w:p>
    <w:p>
      <w:pPr>
        <w:snapToGrid w:val="0"/>
        <w:spacing w:line="360" w:lineRule="auto"/>
        <w:ind w:left="0" w:firstLine="560" w:firstLineChars="200"/>
        <w:jc w:val="left"/>
        <w:rPr>
          <w:rFonts w:cs="Times New Roman"/>
          <w:sz w:val="28"/>
          <w:szCs w:val="28"/>
        </w:rPr>
      </w:pPr>
      <w:r>
        <w:rPr>
          <w:rFonts w:hint="eastAsia" w:cs="宋体"/>
          <w:sz w:val="28"/>
          <w:szCs w:val="28"/>
        </w:rPr>
        <w:t>（八）、质量保证措施</w:t>
      </w:r>
    </w:p>
    <w:p>
      <w:pPr>
        <w:snapToGrid w:val="0"/>
        <w:spacing w:line="360" w:lineRule="auto"/>
        <w:ind w:left="0" w:firstLine="560" w:firstLineChars="200"/>
        <w:jc w:val="left"/>
        <w:rPr>
          <w:rFonts w:cs="Times New Roman"/>
          <w:sz w:val="28"/>
          <w:szCs w:val="28"/>
        </w:rPr>
      </w:pPr>
      <w:r>
        <w:rPr>
          <w:rFonts w:hint="eastAsia" w:cs="宋体"/>
          <w:sz w:val="28"/>
          <w:szCs w:val="28"/>
        </w:rPr>
        <w:t>（九）、工期安排计划</w:t>
      </w:r>
    </w:p>
    <w:p>
      <w:pPr>
        <w:snapToGrid w:val="0"/>
        <w:spacing w:line="360" w:lineRule="auto"/>
        <w:ind w:left="0" w:firstLine="560" w:firstLineChars="200"/>
        <w:jc w:val="left"/>
        <w:rPr>
          <w:rFonts w:cs="Times New Roman"/>
          <w:sz w:val="28"/>
          <w:szCs w:val="28"/>
        </w:rPr>
      </w:pPr>
      <w:r>
        <w:rPr>
          <w:rFonts w:hint="eastAsia"/>
          <w:sz w:val="28"/>
          <w:szCs w:val="28"/>
        </w:rPr>
        <w:t>（十）</w:t>
      </w:r>
      <w:r>
        <w:rPr>
          <w:rFonts w:hint="eastAsia" w:cs="宋体"/>
          <w:sz w:val="28"/>
          <w:szCs w:val="28"/>
        </w:rPr>
        <w:t>、投标技术偏离表；</w:t>
      </w:r>
    </w:p>
    <w:p>
      <w:pPr>
        <w:snapToGrid w:val="0"/>
        <w:spacing w:line="360" w:lineRule="auto"/>
        <w:ind w:left="0" w:firstLine="560" w:firstLineChars="200"/>
        <w:jc w:val="left"/>
        <w:rPr>
          <w:rFonts w:cs="Times New Roman"/>
          <w:sz w:val="28"/>
          <w:szCs w:val="28"/>
        </w:rPr>
      </w:pPr>
      <w:r>
        <w:rPr>
          <w:rFonts w:hint="eastAsia" w:cs="宋体"/>
          <w:sz w:val="28"/>
          <w:szCs w:val="28"/>
        </w:rPr>
        <w:t>（十一）、投标商务偏离表；</w:t>
      </w:r>
    </w:p>
    <w:p>
      <w:pPr>
        <w:snapToGrid w:val="0"/>
        <w:spacing w:line="360" w:lineRule="auto"/>
        <w:ind w:left="1119" w:leftChars="266" w:hanging="560" w:hangingChars="200"/>
        <w:jc w:val="left"/>
        <w:rPr>
          <w:rFonts w:cs="Times New Roman"/>
          <w:sz w:val="28"/>
          <w:szCs w:val="28"/>
        </w:rPr>
      </w:pPr>
      <w:r>
        <w:rPr>
          <w:rFonts w:hint="eastAsia" w:cs="宋体"/>
          <w:sz w:val="28"/>
          <w:szCs w:val="28"/>
        </w:rPr>
        <w:t>（十二）、投标人的营业执照、生产许可证、经销授权证明及投标方认为与本次招标有关的证明等；</w:t>
      </w:r>
    </w:p>
    <w:p>
      <w:pPr>
        <w:snapToGrid w:val="0"/>
        <w:spacing w:line="360" w:lineRule="auto"/>
        <w:ind w:left="0" w:firstLine="560" w:firstLineChars="200"/>
        <w:jc w:val="left"/>
        <w:rPr>
          <w:rFonts w:cs="Times New Roman"/>
          <w:sz w:val="28"/>
          <w:szCs w:val="28"/>
        </w:rPr>
      </w:pPr>
      <w:r>
        <w:rPr>
          <w:rFonts w:hint="eastAsia" w:cs="宋体"/>
          <w:sz w:val="28"/>
          <w:szCs w:val="28"/>
        </w:rPr>
        <w:t>（十三）、售后服务承诺；</w:t>
      </w:r>
    </w:p>
    <w:p>
      <w:pPr>
        <w:snapToGrid w:val="0"/>
        <w:spacing w:line="360" w:lineRule="auto"/>
        <w:ind w:left="0" w:firstLine="560" w:firstLineChars="200"/>
        <w:jc w:val="left"/>
        <w:rPr>
          <w:rFonts w:cs="Times New Roman"/>
          <w:sz w:val="28"/>
          <w:szCs w:val="28"/>
        </w:rPr>
      </w:pPr>
      <w:r>
        <w:rPr>
          <w:rFonts w:hint="eastAsia" w:cs="宋体"/>
          <w:sz w:val="28"/>
          <w:szCs w:val="28"/>
        </w:rPr>
        <w:t>（十四）、投标人同类产品近两年销售业绩；</w:t>
      </w:r>
    </w:p>
    <w:p>
      <w:pPr>
        <w:snapToGrid w:val="0"/>
        <w:spacing w:line="360" w:lineRule="auto"/>
        <w:ind w:left="0" w:firstLine="560" w:firstLineChars="200"/>
        <w:jc w:val="left"/>
        <w:rPr>
          <w:rFonts w:cs="Times New Roman"/>
          <w:sz w:val="28"/>
          <w:szCs w:val="28"/>
        </w:rPr>
      </w:pPr>
      <w:r>
        <w:rPr>
          <w:rFonts w:hint="eastAsia" w:cs="宋体"/>
          <w:sz w:val="28"/>
          <w:szCs w:val="28"/>
        </w:rPr>
        <w:t>（十五）、投标人认为需要表述的与本次招标有关的其它内容。</w:t>
      </w:r>
    </w:p>
    <w:p>
      <w:pPr>
        <w:snapToGrid w:val="0"/>
        <w:spacing w:line="360" w:lineRule="auto"/>
        <w:ind w:left="1121" w:leftChars="266" w:hanging="562" w:hangingChars="200"/>
        <w:jc w:val="left"/>
        <w:rPr>
          <w:rFonts w:ascii="宋体" w:cs="Times New Roman"/>
          <w:b/>
          <w:bCs/>
          <w:sz w:val="28"/>
          <w:szCs w:val="28"/>
        </w:rPr>
      </w:pPr>
      <w:r>
        <w:rPr>
          <w:rFonts w:hint="eastAsia" w:ascii="宋体" w:hAnsi="宋体" w:cs="宋体"/>
          <w:b/>
          <w:bCs/>
          <w:sz w:val="28"/>
          <w:szCs w:val="28"/>
        </w:rPr>
        <w:t>三、</w:t>
      </w:r>
      <w:r>
        <w:rPr>
          <w:rFonts w:hint="eastAsia" w:ascii="宋体" w:hAnsi="宋体" w:cs="宋体"/>
          <w:sz w:val="28"/>
          <w:szCs w:val="28"/>
        </w:rPr>
        <w:t>如果投标方没有以书面形式对招标文件的条文提出异议（偏离），则意味着投标方完全同意招标方提供的招标文件中的条件（包括商务和技术）。如有异议，不管是多么微小，都应在投标文件中以“商务偏离”和“技术偏离”的形式，在“商务偏离表”和“技术偏离表”中加以详细描述。</w:t>
      </w:r>
    </w:p>
    <w:p>
      <w:pPr>
        <w:snapToGrid w:val="0"/>
        <w:spacing w:line="360" w:lineRule="auto"/>
        <w:ind w:left="0" w:firstLine="560" w:firstLineChars="200"/>
        <w:jc w:val="left"/>
        <w:rPr>
          <w:rFonts w:ascii="宋体" w:cs="Times New Roman"/>
          <w:b/>
          <w:bCs/>
          <w:sz w:val="28"/>
          <w:szCs w:val="28"/>
        </w:rPr>
      </w:pPr>
      <w:r>
        <w:rPr>
          <w:rFonts w:hint="eastAsia" w:ascii="宋体" w:hAnsi="宋体" w:cs="宋体"/>
          <w:sz w:val="28"/>
          <w:szCs w:val="28"/>
        </w:rPr>
        <w:t>四、标准格式及表格</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rPr>
        <w:t>（一）、投标设备报价汇总表（格式）</w:t>
      </w:r>
    </w:p>
    <w:tbl>
      <w:tblPr>
        <w:tblStyle w:val="4"/>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序号</w:t>
            </w:r>
          </w:p>
        </w:tc>
        <w:tc>
          <w:tcPr>
            <w:tcW w:w="1435"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设备名称</w:t>
            </w:r>
          </w:p>
        </w:tc>
        <w:tc>
          <w:tcPr>
            <w:tcW w:w="1403"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规格型号</w:t>
            </w:r>
          </w:p>
        </w:tc>
        <w:tc>
          <w:tcPr>
            <w:tcW w:w="947" w:type="dxa"/>
            <w:shd w:val="clear" w:color="auto" w:fill="CCFFCC"/>
            <w:vAlign w:val="center"/>
          </w:tcPr>
          <w:p>
            <w:pPr>
              <w:snapToGrid w:val="0"/>
              <w:spacing w:line="360" w:lineRule="auto"/>
              <w:ind w:left="0" w:firstLine="0" w:firstLineChars="0"/>
              <w:rPr>
                <w:rFonts w:ascii="宋体" w:cs="宋体"/>
                <w:sz w:val="28"/>
                <w:szCs w:val="28"/>
              </w:rPr>
            </w:pPr>
            <w:r>
              <w:rPr>
                <w:rFonts w:hint="eastAsia" w:ascii="宋体" w:hAnsi="宋体" w:cs="宋体"/>
                <w:sz w:val="28"/>
                <w:szCs w:val="28"/>
              </w:rPr>
              <w:t>单位</w:t>
            </w:r>
          </w:p>
        </w:tc>
        <w:tc>
          <w:tcPr>
            <w:tcW w:w="950"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数量</w:t>
            </w:r>
          </w:p>
        </w:tc>
        <w:tc>
          <w:tcPr>
            <w:tcW w:w="1383"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单价（元）</w:t>
            </w:r>
          </w:p>
        </w:tc>
        <w:tc>
          <w:tcPr>
            <w:tcW w:w="1448"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金额（元）</w:t>
            </w:r>
          </w:p>
        </w:tc>
        <w:tc>
          <w:tcPr>
            <w:tcW w:w="1381"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1435" w:type="dxa"/>
          </w:tcPr>
          <w:p>
            <w:pPr>
              <w:snapToGrid w:val="0"/>
              <w:spacing w:line="360" w:lineRule="auto"/>
              <w:ind w:left="1946" w:hanging="1946"/>
              <w:jc w:val="left"/>
              <w:rPr>
                <w:rFonts w:ascii="宋体" w:cs="Times New Roman"/>
                <w:sz w:val="28"/>
                <w:szCs w:val="28"/>
              </w:rPr>
            </w:pPr>
          </w:p>
        </w:tc>
        <w:tc>
          <w:tcPr>
            <w:tcW w:w="1403" w:type="dxa"/>
          </w:tcPr>
          <w:p>
            <w:pPr>
              <w:snapToGrid w:val="0"/>
              <w:spacing w:line="360" w:lineRule="auto"/>
              <w:ind w:left="1946" w:hanging="1946"/>
              <w:jc w:val="left"/>
              <w:rPr>
                <w:rFonts w:ascii="宋体" w:cs="Times New Roman"/>
                <w:sz w:val="28"/>
                <w:szCs w:val="28"/>
              </w:rPr>
            </w:pPr>
          </w:p>
        </w:tc>
        <w:tc>
          <w:tcPr>
            <w:tcW w:w="947" w:type="dxa"/>
          </w:tcPr>
          <w:p>
            <w:pPr>
              <w:snapToGrid w:val="0"/>
              <w:spacing w:line="360" w:lineRule="auto"/>
              <w:ind w:left="1946" w:hanging="1946"/>
              <w:jc w:val="left"/>
              <w:rPr>
                <w:rFonts w:ascii="宋体" w:cs="Times New Roman"/>
                <w:sz w:val="28"/>
                <w:szCs w:val="28"/>
              </w:rPr>
            </w:pPr>
          </w:p>
        </w:tc>
        <w:tc>
          <w:tcPr>
            <w:tcW w:w="950" w:type="dxa"/>
          </w:tcPr>
          <w:p>
            <w:pPr>
              <w:snapToGrid w:val="0"/>
              <w:spacing w:line="360" w:lineRule="auto"/>
              <w:ind w:left="1946" w:hanging="1946"/>
              <w:jc w:val="left"/>
              <w:rPr>
                <w:rFonts w:ascii="宋体" w:cs="Times New Roman"/>
                <w:sz w:val="28"/>
                <w:szCs w:val="28"/>
              </w:rPr>
            </w:pPr>
          </w:p>
        </w:tc>
        <w:tc>
          <w:tcPr>
            <w:tcW w:w="1383" w:type="dxa"/>
          </w:tcPr>
          <w:p>
            <w:pPr>
              <w:snapToGrid w:val="0"/>
              <w:spacing w:line="360" w:lineRule="auto"/>
              <w:ind w:left="1946" w:hanging="1946"/>
              <w:jc w:val="left"/>
              <w:rPr>
                <w:rFonts w:ascii="宋体" w:cs="Times New Roman"/>
                <w:sz w:val="28"/>
                <w:szCs w:val="28"/>
              </w:rPr>
            </w:pPr>
          </w:p>
        </w:tc>
        <w:tc>
          <w:tcPr>
            <w:tcW w:w="1448" w:type="dxa"/>
          </w:tcPr>
          <w:p>
            <w:pPr>
              <w:snapToGrid w:val="0"/>
              <w:spacing w:line="360" w:lineRule="auto"/>
              <w:ind w:left="1946" w:hanging="1946"/>
              <w:jc w:val="left"/>
              <w:rPr>
                <w:rFonts w:ascii="宋体" w:cs="Times New Roman"/>
                <w:sz w:val="28"/>
                <w:szCs w:val="28"/>
              </w:rPr>
            </w:pPr>
          </w:p>
        </w:tc>
        <w:tc>
          <w:tcPr>
            <w:tcW w:w="1381"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1946" w:hanging="1946"/>
              <w:jc w:val="left"/>
              <w:rPr>
                <w:rFonts w:ascii="宋体" w:cs="Times New Roman"/>
                <w:sz w:val="28"/>
                <w:szCs w:val="28"/>
              </w:rPr>
            </w:pPr>
          </w:p>
        </w:tc>
        <w:tc>
          <w:tcPr>
            <w:tcW w:w="2838" w:type="dxa"/>
            <w:gridSpan w:val="2"/>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合计金额（元）</w:t>
            </w:r>
          </w:p>
        </w:tc>
        <w:tc>
          <w:tcPr>
            <w:tcW w:w="6109" w:type="dxa"/>
            <w:gridSpan w:val="5"/>
            <w:vAlign w:val="center"/>
          </w:tcPr>
          <w:p>
            <w:pPr>
              <w:snapToGrid w:val="0"/>
              <w:spacing w:line="360" w:lineRule="auto"/>
              <w:ind w:left="1946" w:hanging="1946"/>
              <w:jc w:val="left"/>
              <w:rPr>
                <w:rFonts w:ascii="宋体" w:cs="Times New Roman"/>
                <w:sz w:val="28"/>
                <w:szCs w:val="28"/>
              </w:rPr>
            </w:pPr>
          </w:p>
        </w:tc>
      </w:tr>
    </w:tbl>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、本表的“合计金额”为最终报价。</w:t>
      </w:r>
    </w:p>
    <w:p>
      <w:pPr>
        <w:snapToGrid w:val="0"/>
        <w:spacing w:line="360" w:lineRule="auto"/>
        <w:ind w:left="687" w:leftChars="327" w:firstLine="138" w:firstLineChars="49"/>
        <w:jc w:val="left"/>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、本表“合计金额”须与“投标报价函”中对应包的“投标报价”相同。</w:t>
      </w:r>
    </w:p>
    <w:p>
      <w:pPr>
        <w:pStyle w:val="9"/>
        <w:snapToGrid w:val="0"/>
        <w:spacing w:line="360" w:lineRule="auto"/>
        <w:ind w:left="805" w:firstLine="0" w:firstLineChars="0"/>
        <w:jc w:val="left"/>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、本项和以下各项的“设备名称”要按照“第三部分，设备采购内容及技术要求。防疫站设备采购清单”</w:t>
      </w:r>
      <w:r>
        <w:rPr>
          <w:rFonts w:ascii="宋体" w:hAnsi="宋体" w:cs="宋体"/>
          <w:b/>
          <w:bCs/>
          <w:sz w:val="28"/>
          <w:szCs w:val="28"/>
        </w:rPr>
        <w:t xml:space="preserve"> </w:t>
      </w:r>
      <w:r>
        <w:rPr>
          <w:rFonts w:hint="eastAsia" w:ascii="宋体" w:hAnsi="宋体" w:cs="宋体"/>
          <w:b/>
          <w:bCs/>
          <w:sz w:val="28"/>
          <w:szCs w:val="28"/>
        </w:rPr>
        <w:t>顺序号填写</w:t>
      </w:r>
      <w:r>
        <w:rPr>
          <w:rFonts w:hint="eastAsia" w:cs="宋体"/>
          <w:b/>
          <w:bCs/>
          <w:sz w:val="28"/>
          <w:szCs w:val="28"/>
        </w:rPr>
        <w:t>。</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rPr>
        <w:t>（二）、投标报价中不包含的易损件报价表（格式）</w:t>
      </w:r>
    </w:p>
    <w:tbl>
      <w:tblPr>
        <w:tblStyle w:val="4"/>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序号</w:t>
            </w:r>
          </w:p>
        </w:tc>
        <w:tc>
          <w:tcPr>
            <w:tcW w:w="1610" w:type="dxa"/>
            <w:shd w:val="clear" w:color="auto" w:fill="CCFFCC"/>
          </w:tcPr>
          <w:p>
            <w:pPr>
              <w:snapToGrid w:val="0"/>
              <w:spacing w:line="360" w:lineRule="auto"/>
              <w:ind w:left="1946" w:hanging="1946"/>
              <w:jc w:val="left"/>
              <w:rPr>
                <w:rFonts w:ascii="宋体" w:cs="宋体"/>
                <w:sz w:val="28"/>
                <w:szCs w:val="28"/>
              </w:rPr>
            </w:pPr>
            <w:r>
              <w:rPr>
                <w:rFonts w:hint="eastAsia" w:ascii="宋体" w:hAnsi="宋体" w:cs="宋体"/>
                <w:sz w:val="28"/>
                <w:szCs w:val="28"/>
              </w:rPr>
              <w:t>设备名称</w:t>
            </w:r>
          </w:p>
        </w:tc>
        <w:tc>
          <w:tcPr>
            <w:tcW w:w="1842"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易损件名称</w:t>
            </w:r>
          </w:p>
        </w:tc>
        <w:tc>
          <w:tcPr>
            <w:tcW w:w="1627"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规格型号</w:t>
            </w:r>
          </w:p>
        </w:tc>
        <w:tc>
          <w:tcPr>
            <w:tcW w:w="1033"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单位</w:t>
            </w:r>
          </w:p>
        </w:tc>
        <w:tc>
          <w:tcPr>
            <w:tcW w:w="992"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单价</w:t>
            </w:r>
          </w:p>
        </w:tc>
        <w:tc>
          <w:tcPr>
            <w:tcW w:w="1559"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1946" w:hanging="1946"/>
              <w:jc w:val="left"/>
              <w:rPr>
                <w:rFonts w:ascii="宋体" w:cs="Times New Roman"/>
                <w:sz w:val="28"/>
                <w:szCs w:val="28"/>
              </w:rPr>
            </w:pPr>
          </w:p>
        </w:tc>
        <w:tc>
          <w:tcPr>
            <w:tcW w:w="1610" w:type="dxa"/>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c>
          <w:tcPr>
            <w:tcW w:w="1627" w:type="dxa"/>
            <w:vAlign w:val="center"/>
          </w:tcPr>
          <w:p>
            <w:pPr>
              <w:snapToGrid w:val="0"/>
              <w:spacing w:line="360" w:lineRule="auto"/>
              <w:ind w:left="1946" w:hanging="1946"/>
              <w:jc w:val="left"/>
              <w:rPr>
                <w:rFonts w:ascii="宋体" w:cs="Times New Roman"/>
                <w:sz w:val="28"/>
                <w:szCs w:val="28"/>
              </w:rPr>
            </w:pPr>
          </w:p>
        </w:tc>
        <w:tc>
          <w:tcPr>
            <w:tcW w:w="1033" w:type="dxa"/>
            <w:vAlign w:val="center"/>
          </w:tcPr>
          <w:p>
            <w:pPr>
              <w:snapToGrid w:val="0"/>
              <w:spacing w:line="360" w:lineRule="auto"/>
              <w:ind w:left="1946" w:hanging="1946"/>
              <w:jc w:val="left"/>
              <w:rPr>
                <w:rFonts w:ascii="宋体" w:cs="Times New Roman"/>
                <w:sz w:val="28"/>
                <w:szCs w:val="28"/>
              </w:rPr>
            </w:pPr>
          </w:p>
        </w:tc>
        <w:tc>
          <w:tcPr>
            <w:tcW w:w="992" w:type="dxa"/>
            <w:vAlign w:val="center"/>
          </w:tcPr>
          <w:p>
            <w:pPr>
              <w:snapToGrid w:val="0"/>
              <w:spacing w:line="360" w:lineRule="auto"/>
              <w:ind w:left="1946" w:hanging="1946"/>
              <w:jc w:val="left"/>
              <w:rPr>
                <w:rFonts w:ascii="宋体" w:cs="Times New Roman"/>
                <w:sz w:val="28"/>
                <w:szCs w:val="28"/>
              </w:rPr>
            </w:pPr>
          </w:p>
        </w:tc>
        <w:tc>
          <w:tcPr>
            <w:tcW w:w="1559" w:type="dxa"/>
            <w:vAlign w:val="center"/>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1946" w:hanging="1946"/>
              <w:jc w:val="left"/>
              <w:rPr>
                <w:rFonts w:ascii="宋体" w:cs="Times New Roman"/>
                <w:sz w:val="28"/>
                <w:szCs w:val="28"/>
              </w:rPr>
            </w:pPr>
          </w:p>
        </w:tc>
        <w:tc>
          <w:tcPr>
            <w:tcW w:w="1610" w:type="dxa"/>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c>
          <w:tcPr>
            <w:tcW w:w="1627" w:type="dxa"/>
            <w:vAlign w:val="center"/>
          </w:tcPr>
          <w:p>
            <w:pPr>
              <w:snapToGrid w:val="0"/>
              <w:spacing w:line="360" w:lineRule="auto"/>
              <w:ind w:left="1946" w:hanging="1946"/>
              <w:jc w:val="left"/>
              <w:rPr>
                <w:rFonts w:ascii="宋体" w:cs="Times New Roman"/>
                <w:sz w:val="28"/>
                <w:szCs w:val="28"/>
              </w:rPr>
            </w:pPr>
          </w:p>
        </w:tc>
        <w:tc>
          <w:tcPr>
            <w:tcW w:w="1033" w:type="dxa"/>
            <w:vAlign w:val="center"/>
          </w:tcPr>
          <w:p>
            <w:pPr>
              <w:snapToGrid w:val="0"/>
              <w:spacing w:line="360" w:lineRule="auto"/>
              <w:ind w:left="1946" w:hanging="1946"/>
              <w:jc w:val="left"/>
              <w:rPr>
                <w:rFonts w:ascii="宋体" w:cs="Times New Roman"/>
                <w:sz w:val="28"/>
                <w:szCs w:val="28"/>
              </w:rPr>
            </w:pPr>
          </w:p>
        </w:tc>
        <w:tc>
          <w:tcPr>
            <w:tcW w:w="992" w:type="dxa"/>
            <w:vAlign w:val="center"/>
          </w:tcPr>
          <w:p>
            <w:pPr>
              <w:snapToGrid w:val="0"/>
              <w:spacing w:line="360" w:lineRule="auto"/>
              <w:ind w:left="1946" w:hanging="1946"/>
              <w:jc w:val="left"/>
              <w:rPr>
                <w:rFonts w:ascii="宋体" w:cs="Times New Roman"/>
                <w:sz w:val="28"/>
                <w:szCs w:val="28"/>
              </w:rPr>
            </w:pPr>
          </w:p>
        </w:tc>
        <w:tc>
          <w:tcPr>
            <w:tcW w:w="1559" w:type="dxa"/>
            <w:vAlign w:val="center"/>
          </w:tcPr>
          <w:p>
            <w:pPr>
              <w:snapToGrid w:val="0"/>
              <w:spacing w:line="360" w:lineRule="auto"/>
              <w:ind w:left="1946" w:hanging="1946"/>
              <w:jc w:val="left"/>
              <w:rPr>
                <w:rFonts w:ascii="宋体" w:cs="Times New Roman"/>
                <w:sz w:val="28"/>
                <w:szCs w:val="28"/>
              </w:rPr>
            </w:pPr>
          </w:p>
        </w:tc>
      </w:tr>
    </w:tbl>
    <w:p>
      <w:pPr>
        <w:snapToGrid w:val="0"/>
        <w:spacing w:line="360" w:lineRule="auto"/>
        <w:ind w:left="826" w:hanging="826" w:hangingChars="294"/>
        <w:jc w:val="left"/>
        <w:rPr>
          <w:rFonts w:ascii="宋体" w:cs="Times New Roman"/>
          <w:b/>
          <w:bCs/>
          <w:sz w:val="28"/>
          <w:szCs w:val="28"/>
        </w:rPr>
      </w:pPr>
      <w:r>
        <w:rPr>
          <w:rFonts w:hint="eastAsia" w:ascii="宋体" w:hAnsi="宋体" w:cs="宋体"/>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（三）、投标设备备品、备件及专用工具清单（格式）</w:t>
      </w:r>
    </w:p>
    <w:tbl>
      <w:tblPr>
        <w:tblStyle w:val="4"/>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序号</w:t>
            </w:r>
          </w:p>
        </w:tc>
        <w:tc>
          <w:tcPr>
            <w:tcW w:w="1622" w:type="dxa"/>
            <w:shd w:val="clear" w:color="auto" w:fill="CCFFCC"/>
          </w:tcPr>
          <w:p>
            <w:pPr>
              <w:snapToGrid w:val="0"/>
              <w:spacing w:line="360" w:lineRule="auto"/>
              <w:ind w:left="1946" w:hanging="1946"/>
              <w:jc w:val="left"/>
              <w:rPr>
                <w:rFonts w:ascii="宋体" w:cs="宋体"/>
                <w:sz w:val="28"/>
                <w:szCs w:val="28"/>
              </w:rPr>
            </w:pPr>
            <w:r>
              <w:rPr>
                <w:rFonts w:hint="eastAsia" w:ascii="宋体" w:hAnsi="宋体" w:cs="宋体"/>
                <w:sz w:val="28"/>
                <w:szCs w:val="28"/>
              </w:rPr>
              <w:t>设备名称</w:t>
            </w:r>
          </w:p>
        </w:tc>
        <w:tc>
          <w:tcPr>
            <w:tcW w:w="1947"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备品名称</w:t>
            </w:r>
          </w:p>
        </w:tc>
        <w:tc>
          <w:tcPr>
            <w:tcW w:w="1614"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规格型号</w:t>
            </w:r>
          </w:p>
        </w:tc>
        <w:tc>
          <w:tcPr>
            <w:tcW w:w="984"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单位</w:t>
            </w:r>
          </w:p>
        </w:tc>
        <w:tc>
          <w:tcPr>
            <w:tcW w:w="953"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数量</w:t>
            </w:r>
          </w:p>
        </w:tc>
        <w:tc>
          <w:tcPr>
            <w:tcW w:w="1842" w:type="dxa"/>
            <w:shd w:val="clear" w:color="auto" w:fill="CCFFCC"/>
            <w:vAlign w:val="center"/>
          </w:tcPr>
          <w:p>
            <w:pPr>
              <w:snapToGrid w:val="0"/>
              <w:spacing w:line="360" w:lineRule="auto"/>
              <w:ind w:left="1946" w:hanging="1946"/>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vAlign w:val="center"/>
          </w:tcPr>
          <w:p>
            <w:pPr>
              <w:snapToGrid w:val="0"/>
              <w:spacing w:line="360" w:lineRule="auto"/>
              <w:ind w:left="1946" w:hanging="1946"/>
              <w:jc w:val="left"/>
              <w:rPr>
                <w:rFonts w:ascii="宋体" w:cs="Times New Roman"/>
                <w:sz w:val="28"/>
                <w:szCs w:val="28"/>
              </w:rPr>
            </w:pPr>
          </w:p>
        </w:tc>
        <w:tc>
          <w:tcPr>
            <w:tcW w:w="1622" w:type="dxa"/>
          </w:tcPr>
          <w:p>
            <w:pPr>
              <w:snapToGrid w:val="0"/>
              <w:spacing w:line="360" w:lineRule="auto"/>
              <w:ind w:left="1946" w:hanging="1946"/>
              <w:jc w:val="left"/>
              <w:rPr>
                <w:rFonts w:ascii="宋体" w:cs="Times New Roman"/>
                <w:sz w:val="28"/>
                <w:szCs w:val="28"/>
              </w:rPr>
            </w:pPr>
          </w:p>
        </w:tc>
        <w:tc>
          <w:tcPr>
            <w:tcW w:w="1947" w:type="dxa"/>
            <w:vAlign w:val="center"/>
          </w:tcPr>
          <w:p>
            <w:pPr>
              <w:snapToGrid w:val="0"/>
              <w:spacing w:line="360" w:lineRule="auto"/>
              <w:ind w:left="1946" w:hanging="1946"/>
              <w:jc w:val="left"/>
              <w:rPr>
                <w:rFonts w:ascii="宋体" w:cs="Times New Roman"/>
                <w:sz w:val="28"/>
                <w:szCs w:val="28"/>
              </w:rPr>
            </w:pPr>
          </w:p>
        </w:tc>
        <w:tc>
          <w:tcPr>
            <w:tcW w:w="1614" w:type="dxa"/>
            <w:vAlign w:val="center"/>
          </w:tcPr>
          <w:p>
            <w:pPr>
              <w:snapToGrid w:val="0"/>
              <w:spacing w:line="360" w:lineRule="auto"/>
              <w:ind w:left="1946" w:hanging="1946"/>
              <w:jc w:val="left"/>
              <w:rPr>
                <w:rFonts w:ascii="宋体" w:cs="Times New Roman"/>
                <w:sz w:val="28"/>
                <w:szCs w:val="28"/>
              </w:rPr>
            </w:pPr>
          </w:p>
        </w:tc>
        <w:tc>
          <w:tcPr>
            <w:tcW w:w="984" w:type="dxa"/>
            <w:vAlign w:val="center"/>
          </w:tcPr>
          <w:p>
            <w:pPr>
              <w:snapToGrid w:val="0"/>
              <w:spacing w:line="360" w:lineRule="auto"/>
              <w:ind w:left="1946" w:hanging="1946"/>
              <w:jc w:val="left"/>
              <w:rPr>
                <w:rFonts w:ascii="宋体" w:cs="Times New Roman"/>
                <w:sz w:val="28"/>
                <w:szCs w:val="28"/>
              </w:rPr>
            </w:pPr>
          </w:p>
        </w:tc>
        <w:tc>
          <w:tcPr>
            <w:tcW w:w="953" w:type="dxa"/>
            <w:vAlign w:val="center"/>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snapToGrid w:val="0"/>
              <w:spacing w:line="360" w:lineRule="auto"/>
              <w:ind w:left="1946" w:hanging="1946"/>
              <w:jc w:val="left"/>
              <w:rPr>
                <w:rFonts w:ascii="宋体" w:cs="Times New Roman"/>
                <w:sz w:val="28"/>
                <w:szCs w:val="28"/>
              </w:rPr>
            </w:pPr>
          </w:p>
        </w:tc>
        <w:tc>
          <w:tcPr>
            <w:tcW w:w="1622" w:type="dxa"/>
          </w:tcPr>
          <w:p>
            <w:pPr>
              <w:snapToGrid w:val="0"/>
              <w:spacing w:line="360" w:lineRule="auto"/>
              <w:ind w:left="1946" w:hanging="1946"/>
              <w:jc w:val="left"/>
              <w:rPr>
                <w:rFonts w:ascii="宋体" w:cs="Times New Roman"/>
                <w:sz w:val="28"/>
                <w:szCs w:val="28"/>
              </w:rPr>
            </w:pPr>
          </w:p>
        </w:tc>
        <w:tc>
          <w:tcPr>
            <w:tcW w:w="1947" w:type="dxa"/>
            <w:vAlign w:val="center"/>
          </w:tcPr>
          <w:p>
            <w:pPr>
              <w:snapToGrid w:val="0"/>
              <w:spacing w:line="360" w:lineRule="auto"/>
              <w:ind w:left="1946" w:hanging="1946"/>
              <w:jc w:val="left"/>
              <w:rPr>
                <w:rFonts w:ascii="宋体" w:cs="Times New Roman"/>
                <w:sz w:val="28"/>
                <w:szCs w:val="28"/>
              </w:rPr>
            </w:pPr>
          </w:p>
        </w:tc>
        <w:tc>
          <w:tcPr>
            <w:tcW w:w="1614" w:type="dxa"/>
            <w:vAlign w:val="center"/>
          </w:tcPr>
          <w:p>
            <w:pPr>
              <w:snapToGrid w:val="0"/>
              <w:spacing w:line="360" w:lineRule="auto"/>
              <w:ind w:left="1946" w:hanging="1946"/>
              <w:jc w:val="left"/>
              <w:rPr>
                <w:rFonts w:ascii="宋体" w:cs="Times New Roman"/>
                <w:sz w:val="28"/>
                <w:szCs w:val="28"/>
              </w:rPr>
            </w:pPr>
          </w:p>
        </w:tc>
        <w:tc>
          <w:tcPr>
            <w:tcW w:w="984" w:type="dxa"/>
            <w:vAlign w:val="center"/>
          </w:tcPr>
          <w:p>
            <w:pPr>
              <w:snapToGrid w:val="0"/>
              <w:spacing w:line="360" w:lineRule="auto"/>
              <w:ind w:left="1946" w:hanging="1946"/>
              <w:jc w:val="left"/>
              <w:rPr>
                <w:rFonts w:ascii="宋体" w:cs="Times New Roman"/>
                <w:sz w:val="28"/>
                <w:szCs w:val="28"/>
              </w:rPr>
            </w:pPr>
          </w:p>
        </w:tc>
        <w:tc>
          <w:tcPr>
            <w:tcW w:w="953" w:type="dxa"/>
            <w:vAlign w:val="center"/>
          </w:tcPr>
          <w:p>
            <w:pPr>
              <w:snapToGrid w:val="0"/>
              <w:spacing w:line="360" w:lineRule="auto"/>
              <w:ind w:left="1946" w:hanging="1946"/>
              <w:jc w:val="left"/>
              <w:rPr>
                <w:rFonts w:ascii="宋体" w:cs="Times New Roman"/>
                <w:sz w:val="28"/>
                <w:szCs w:val="28"/>
              </w:rPr>
            </w:pPr>
          </w:p>
        </w:tc>
        <w:tc>
          <w:tcPr>
            <w:tcW w:w="1842" w:type="dxa"/>
            <w:vAlign w:val="center"/>
          </w:tcPr>
          <w:p>
            <w:pPr>
              <w:snapToGrid w:val="0"/>
              <w:spacing w:line="360" w:lineRule="auto"/>
              <w:ind w:left="1946" w:hanging="1946"/>
              <w:jc w:val="left"/>
              <w:rPr>
                <w:rFonts w:ascii="宋体" w:cs="Times New Roman"/>
                <w:sz w:val="28"/>
                <w:szCs w:val="28"/>
              </w:rPr>
            </w:pPr>
          </w:p>
        </w:tc>
      </w:tr>
    </w:tbl>
    <w:p>
      <w:pPr>
        <w:snapToGrid w:val="0"/>
        <w:spacing w:line="360" w:lineRule="auto"/>
        <w:ind w:left="826" w:hanging="826" w:hangingChars="294"/>
        <w:jc w:val="left"/>
        <w:rPr>
          <w:rFonts w:ascii="宋体" w:cs="Times New Roman"/>
          <w:b/>
          <w:bCs/>
          <w:sz w:val="28"/>
          <w:szCs w:val="28"/>
        </w:rPr>
      </w:pPr>
      <w:r>
        <w:rPr>
          <w:rFonts w:hint="eastAsia" w:ascii="宋体" w:hAnsi="宋体" w:cs="宋体"/>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rPr>
        <w:t>（四）、投标设备技术偏离表（格式）</w:t>
      </w:r>
    </w:p>
    <w:tbl>
      <w:tblPr>
        <w:tblStyle w:val="4"/>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序号</w:t>
            </w:r>
          </w:p>
        </w:tc>
        <w:tc>
          <w:tcPr>
            <w:tcW w:w="1498"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设备名称</w:t>
            </w:r>
          </w:p>
        </w:tc>
        <w:tc>
          <w:tcPr>
            <w:tcW w:w="1552"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项目名称</w:t>
            </w:r>
          </w:p>
        </w:tc>
        <w:tc>
          <w:tcPr>
            <w:tcW w:w="1700"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招标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文件要求</w:t>
            </w:r>
          </w:p>
        </w:tc>
        <w:tc>
          <w:tcPr>
            <w:tcW w:w="1567"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投标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文件对应</w:t>
            </w:r>
          </w:p>
        </w:tc>
        <w:tc>
          <w:tcPr>
            <w:tcW w:w="1566"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是否偏离</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及理由</w:t>
            </w:r>
          </w:p>
        </w:tc>
        <w:tc>
          <w:tcPr>
            <w:tcW w:w="1000"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宋体" w:cs="Times New Roman"/>
                <w:sz w:val="28"/>
                <w:szCs w:val="28"/>
              </w:rPr>
            </w:pPr>
          </w:p>
        </w:tc>
        <w:tc>
          <w:tcPr>
            <w:tcW w:w="1498" w:type="dxa"/>
          </w:tcPr>
          <w:p>
            <w:pPr>
              <w:snapToGrid w:val="0"/>
              <w:spacing w:line="360" w:lineRule="auto"/>
              <w:ind w:left="1946" w:hanging="1946"/>
              <w:jc w:val="left"/>
              <w:rPr>
                <w:rFonts w:ascii="宋体" w:cs="Times New Roman"/>
                <w:sz w:val="28"/>
                <w:szCs w:val="28"/>
              </w:rPr>
            </w:pPr>
          </w:p>
        </w:tc>
        <w:tc>
          <w:tcPr>
            <w:tcW w:w="1552" w:type="dxa"/>
          </w:tcPr>
          <w:p>
            <w:pPr>
              <w:snapToGrid w:val="0"/>
              <w:spacing w:line="360" w:lineRule="auto"/>
              <w:ind w:left="1946" w:hanging="1946"/>
              <w:jc w:val="left"/>
              <w:rPr>
                <w:rFonts w:ascii="宋体" w:cs="Times New Roman"/>
                <w:sz w:val="28"/>
                <w:szCs w:val="28"/>
              </w:rPr>
            </w:pPr>
          </w:p>
        </w:tc>
        <w:tc>
          <w:tcPr>
            <w:tcW w:w="1700" w:type="dxa"/>
          </w:tcPr>
          <w:p>
            <w:pPr>
              <w:snapToGrid w:val="0"/>
              <w:spacing w:line="360" w:lineRule="auto"/>
              <w:ind w:left="1946" w:hanging="1946"/>
              <w:jc w:val="left"/>
              <w:rPr>
                <w:rFonts w:ascii="宋体" w:cs="Times New Roman"/>
                <w:sz w:val="28"/>
                <w:szCs w:val="28"/>
              </w:rPr>
            </w:pPr>
          </w:p>
        </w:tc>
        <w:tc>
          <w:tcPr>
            <w:tcW w:w="1567" w:type="dxa"/>
          </w:tcPr>
          <w:p>
            <w:pPr>
              <w:snapToGrid w:val="0"/>
              <w:spacing w:line="360" w:lineRule="auto"/>
              <w:ind w:left="1946" w:hanging="1946"/>
              <w:jc w:val="left"/>
              <w:rPr>
                <w:rFonts w:ascii="宋体" w:cs="Times New Roman"/>
                <w:sz w:val="28"/>
                <w:szCs w:val="28"/>
              </w:rPr>
            </w:pPr>
          </w:p>
        </w:tc>
        <w:tc>
          <w:tcPr>
            <w:tcW w:w="1566" w:type="dxa"/>
          </w:tcPr>
          <w:p>
            <w:pPr>
              <w:snapToGrid w:val="0"/>
              <w:spacing w:line="360" w:lineRule="auto"/>
              <w:ind w:left="1946" w:hanging="1946"/>
              <w:jc w:val="left"/>
              <w:rPr>
                <w:rFonts w:ascii="宋体" w:cs="Times New Roman"/>
                <w:sz w:val="28"/>
                <w:szCs w:val="28"/>
              </w:rPr>
            </w:pPr>
          </w:p>
        </w:tc>
        <w:tc>
          <w:tcPr>
            <w:tcW w:w="1000"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宋体" w:cs="Times New Roman"/>
                <w:sz w:val="28"/>
                <w:szCs w:val="28"/>
              </w:rPr>
            </w:pPr>
          </w:p>
        </w:tc>
        <w:tc>
          <w:tcPr>
            <w:tcW w:w="1498" w:type="dxa"/>
          </w:tcPr>
          <w:p>
            <w:pPr>
              <w:snapToGrid w:val="0"/>
              <w:spacing w:line="360" w:lineRule="auto"/>
              <w:ind w:left="1946" w:hanging="1946"/>
              <w:jc w:val="left"/>
              <w:rPr>
                <w:rFonts w:ascii="宋体" w:cs="Times New Roman"/>
                <w:sz w:val="28"/>
                <w:szCs w:val="28"/>
              </w:rPr>
            </w:pPr>
          </w:p>
        </w:tc>
        <w:tc>
          <w:tcPr>
            <w:tcW w:w="1552" w:type="dxa"/>
          </w:tcPr>
          <w:p>
            <w:pPr>
              <w:snapToGrid w:val="0"/>
              <w:spacing w:line="360" w:lineRule="auto"/>
              <w:ind w:left="1946" w:hanging="1946"/>
              <w:jc w:val="left"/>
              <w:rPr>
                <w:rFonts w:ascii="宋体" w:cs="Times New Roman"/>
                <w:sz w:val="28"/>
                <w:szCs w:val="28"/>
              </w:rPr>
            </w:pPr>
          </w:p>
        </w:tc>
        <w:tc>
          <w:tcPr>
            <w:tcW w:w="1700" w:type="dxa"/>
          </w:tcPr>
          <w:p>
            <w:pPr>
              <w:snapToGrid w:val="0"/>
              <w:spacing w:line="360" w:lineRule="auto"/>
              <w:ind w:left="1946" w:hanging="1946"/>
              <w:jc w:val="left"/>
              <w:rPr>
                <w:rFonts w:ascii="宋体" w:cs="Times New Roman"/>
                <w:sz w:val="28"/>
                <w:szCs w:val="28"/>
              </w:rPr>
            </w:pPr>
          </w:p>
        </w:tc>
        <w:tc>
          <w:tcPr>
            <w:tcW w:w="1567" w:type="dxa"/>
          </w:tcPr>
          <w:p>
            <w:pPr>
              <w:snapToGrid w:val="0"/>
              <w:spacing w:line="360" w:lineRule="auto"/>
              <w:ind w:left="1946" w:hanging="1946"/>
              <w:jc w:val="left"/>
              <w:rPr>
                <w:rFonts w:ascii="宋体" w:cs="Times New Roman"/>
                <w:sz w:val="28"/>
                <w:szCs w:val="28"/>
              </w:rPr>
            </w:pPr>
          </w:p>
        </w:tc>
        <w:tc>
          <w:tcPr>
            <w:tcW w:w="1566" w:type="dxa"/>
          </w:tcPr>
          <w:p>
            <w:pPr>
              <w:snapToGrid w:val="0"/>
              <w:spacing w:line="360" w:lineRule="auto"/>
              <w:ind w:left="1946" w:hanging="1946"/>
              <w:jc w:val="left"/>
              <w:rPr>
                <w:rFonts w:ascii="宋体" w:cs="Times New Roman"/>
                <w:sz w:val="28"/>
                <w:szCs w:val="28"/>
              </w:rPr>
            </w:pPr>
          </w:p>
        </w:tc>
        <w:tc>
          <w:tcPr>
            <w:tcW w:w="1000"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1946" w:hanging="1946"/>
              <w:jc w:val="left"/>
              <w:rPr>
                <w:rFonts w:ascii="宋体" w:cs="Times New Roman"/>
                <w:sz w:val="28"/>
                <w:szCs w:val="28"/>
              </w:rPr>
            </w:pPr>
          </w:p>
        </w:tc>
        <w:tc>
          <w:tcPr>
            <w:tcW w:w="1498" w:type="dxa"/>
          </w:tcPr>
          <w:p>
            <w:pPr>
              <w:snapToGrid w:val="0"/>
              <w:spacing w:line="360" w:lineRule="auto"/>
              <w:ind w:left="1946" w:hanging="1946"/>
              <w:jc w:val="left"/>
              <w:rPr>
                <w:rFonts w:ascii="宋体" w:cs="Times New Roman"/>
                <w:sz w:val="28"/>
                <w:szCs w:val="28"/>
              </w:rPr>
            </w:pPr>
          </w:p>
        </w:tc>
        <w:tc>
          <w:tcPr>
            <w:tcW w:w="1552" w:type="dxa"/>
          </w:tcPr>
          <w:p>
            <w:pPr>
              <w:snapToGrid w:val="0"/>
              <w:spacing w:line="360" w:lineRule="auto"/>
              <w:ind w:left="1946" w:hanging="1946"/>
              <w:jc w:val="left"/>
              <w:rPr>
                <w:rFonts w:ascii="宋体" w:cs="Times New Roman"/>
                <w:sz w:val="28"/>
                <w:szCs w:val="28"/>
              </w:rPr>
            </w:pPr>
          </w:p>
        </w:tc>
        <w:tc>
          <w:tcPr>
            <w:tcW w:w="1700" w:type="dxa"/>
          </w:tcPr>
          <w:p>
            <w:pPr>
              <w:snapToGrid w:val="0"/>
              <w:spacing w:line="360" w:lineRule="auto"/>
              <w:ind w:left="1946" w:hanging="1946"/>
              <w:jc w:val="left"/>
              <w:rPr>
                <w:rFonts w:ascii="宋体" w:cs="Times New Roman"/>
                <w:sz w:val="28"/>
                <w:szCs w:val="28"/>
              </w:rPr>
            </w:pPr>
          </w:p>
        </w:tc>
        <w:tc>
          <w:tcPr>
            <w:tcW w:w="1567" w:type="dxa"/>
          </w:tcPr>
          <w:p>
            <w:pPr>
              <w:snapToGrid w:val="0"/>
              <w:spacing w:line="360" w:lineRule="auto"/>
              <w:ind w:left="1946" w:hanging="1946"/>
              <w:jc w:val="left"/>
              <w:rPr>
                <w:rFonts w:ascii="宋体" w:cs="Times New Roman"/>
                <w:sz w:val="28"/>
                <w:szCs w:val="28"/>
              </w:rPr>
            </w:pPr>
          </w:p>
        </w:tc>
        <w:tc>
          <w:tcPr>
            <w:tcW w:w="1566" w:type="dxa"/>
          </w:tcPr>
          <w:p>
            <w:pPr>
              <w:snapToGrid w:val="0"/>
              <w:spacing w:line="360" w:lineRule="auto"/>
              <w:ind w:left="1946" w:hanging="1946"/>
              <w:jc w:val="left"/>
              <w:rPr>
                <w:rFonts w:ascii="宋体" w:cs="Times New Roman"/>
                <w:sz w:val="28"/>
                <w:szCs w:val="28"/>
              </w:rPr>
            </w:pPr>
          </w:p>
        </w:tc>
        <w:tc>
          <w:tcPr>
            <w:tcW w:w="1000" w:type="dxa"/>
          </w:tcPr>
          <w:p>
            <w:pPr>
              <w:snapToGrid w:val="0"/>
              <w:spacing w:line="360" w:lineRule="auto"/>
              <w:ind w:left="1946" w:hanging="1946"/>
              <w:jc w:val="left"/>
              <w:rPr>
                <w:rFonts w:ascii="宋体" w:cs="Times New Roman"/>
                <w:sz w:val="28"/>
                <w:szCs w:val="28"/>
              </w:rPr>
            </w:pPr>
          </w:p>
        </w:tc>
      </w:tr>
    </w:tbl>
    <w:p>
      <w:pPr>
        <w:snapToGrid w:val="0"/>
        <w:spacing w:line="360" w:lineRule="auto"/>
        <w:ind w:left="0" w:firstLine="0" w:firstLineChars="0"/>
        <w:jc w:val="left"/>
        <w:rPr>
          <w:rFonts w:ascii="宋体" w:cs="Times New Roman"/>
          <w:b/>
          <w:bCs/>
          <w:sz w:val="28"/>
          <w:szCs w:val="28"/>
        </w:rPr>
      </w:pP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rPr>
        <w:t>（五）、商务偏离表（格式）</w:t>
      </w:r>
    </w:p>
    <w:tbl>
      <w:tblPr>
        <w:tblStyle w:val="4"/>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序号</w:t>
            </w:r>
          </w:p>
        </w:tc>
        <w:tc>
          <w:tcPr>
            <w:tcW w:w="1577" w:type="dxa"/>
            <w:shd w:val="clear" w:color="auto" w:fill="CCFFCC"/>
            <w:vAlign w:val="center"/>
          </w:tcPr>
          <w:p>
            <w:pPr>
              <w:snapToGrid w:val="0"/>
              <w:spacing w:line="360" w:lineRule="auto"/>
              <w:ind w:left="0" w:firstLine="0" w:firstLineChars="0"/>
              <w:jc w:val="center"/>
              <w:rPr>
                <w:rFonts w:ascii="宋体" w:cs="宋体"/>
                <w:sz w:val="28"/>
                <w:szCs w:val="28"/>
              </w:rPr>
            </w:pPr>
            <w:r>
              <w:rPr>
                <w:rFonts w:hint="eastAsia" w:ascii="宋体" w:hAnsi="宋体" w:cs="宋体"/>
                <w:sz w:val="28"/>
                <w:szCs w:val="28"/>
              </w:rPr>
              <w:t>设备名称</w:t>
            </w:r>
          </w:p>
        </w:tc>
        <w:tc>
          <w:tcPr>
            <w:tcW w:w="1577"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项目名称</w:t>
            </w:r>
          </w:p>
        </w:tc>
        <w:tc>
          <w:tcPr>
            <w:tcW w:w="1701"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招标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文件要求</w:t>
            </w:r>
          </w:p>
        </w:tc>
        <w:tc>
          <w:tcPr>
            <w:tcW w:w="1560"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投标</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文件对应</w:t>
            </w:r>
          </w:p>
        </w:tc>
        <w:tc>
          <w:tcPr>
            <w:tcW w:w="1559" w:type="dxa"/>
            <w:shd w:val="clear" w:color="auto" w:fill="CCFFCC"/>
            <w:vAlign w:val="center"/>
          </w:tcPr>
          <w:p>
            <w:pPr>
              <w:snapToGrid w:val="0"/>
              <w:spacing w:line="360" w:lineRule="auto"/>
              <w:ind w:left="1946" w:hanging="1946"/>
              <w:jc w:val="center"/>
              <w:rPr>
                <w:rFonts w:ascii="宋体" w:cs="宋体"/>
                <w:sz w:val="28"/>
                <w:szCs w:val="28"/>
              </w:rPr>
            </w:pPr>
            <w:r>
              <w:rPr>
                <w:rFonts w:hint="eastAsia" w:ascii="宋体" w:hAnsi="宋体" w:cs="宋体"/>
                <w:sz w:val="28"/>
                <w:szCs w:val="28"/>
              </w:rPr>
              <w:t>是否偏离</w:t>
            </w:r>
          </w:p>
          <w:p>
            <w:pPr>
              <w:snapToGrid w:val="0"/>
              <w:spacing w:line="360" w:lineRule="auto"/>
              <w:ind w:left="1946" w:hanging="1946"/>
              <w:jc w:val="center"/>
              <w:rPr>
                <w:rFonts w:ascii="宋体" w:cs="Times New Roman"/>
                <w:sz w:val="28"/>
                <w:szCs w:val="28"/>
              </w:rPr>
            </w:pPr>
            <w:r>
              <w:rPr>
                <w:rFonts w:hint="eastAsia" w:ascii="宋体" w:hAnsi="宋体" w:cs="宋体"/>
                <w:sz w:val="28"/>
                <w:szCs w:val="28"/>
              </w:rPr>
              <w:t>及理由</w:t>
            </w:r>
          </w:p>
        </w:tc>
        <w:tc>
          <w:tcPr>
            <w:tcW w:w="992" w:type="dxa"/>
            <w:shd w:val="clear" w:color="auto" w:fill="CCFFCC"/>
            <w:vAlign w:val="center"/>
          </w:tcPr>
          <w:p>
            <w:pPr>
              <w:snapToGrid w:val="0"/>
              <w:spacing w:line="360" w:lineRule="auto"/>
              <w:ind w:left="1946" w:hanging="1946"/>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701" w:type="dxa"/>
          </w:tcPr>
          <w:p>
            <w:pPr>
              <w:snapToGrid w:val="0"/>
              <w:spacing w:line="360" w:lineRule="auto"/>
              <w:ind w:left="1946" w:hanging="1946"/>
              <w:jc w:val="left"/>
              <w:rPr>
                <w:rFonts w:ascii="宋体" w:cs="Times New Roman"/>
                <w:sz w:val="28"/>
                <w:szCs w:val="28"/>
              </w:rPr>
            </w:pPr>
          </w:p>
        </w:tc>
        <w:tc>
          <w:tcPr>
            <w:tcW w:w="1560" w:type="dxa"/>
          </w:tcPr>
          <w:p>
            <w:pPr>
              <w:snapToGrid w:val="0"/>
              <w:spacing w:line="360" w:lineRule="auto"/>
              <w:ind w:left="1946" w:hanging="1946"/>
              <w:jc w:val="left"/>
              <w:rPr>
                <w:rFonts w:ascii="宋体" w:cs="Times New Roman"/>
                <w:sz w:val="28"/>
                <w:szCs w:val="28"/>
              </w:rPr>
            </w:pPr>
          </w:p>
        </w:tc>
        <w:tc>
          <w:tcPr>
            <w:tcW w:w="1559" w:type="dxa"/>
          </w:tcPr>
          <w:p>
            <w:pPr>
              <w:snapToGrid w:val="0"/>
              <w:spacing w:line="360" w:lineRule="auto"/>
              <w:ind w:left="1946" w:hanging="1946"/>
              <w:jc w:val="left"/>
              <w:rPr>
                <w:rFonts w:ascii="宋体" w:cs="Times New Roman"/>
                <w:sz w:val="28"/>
                <w:szCs w:val="28"/>
              </w:rPr>
            </w:pPr>
          </w:p>
        </w:tc>
        <w:tc>
          <w:tcPr>
            <w:tcW w:w="992"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701" w:type="dxa"/>
          </w:tcPr>
          <w:p>
            <w:pPr>
              <w:snapToGrid w:val="0"/>
              <w:spacing w:line="360" w:lineRule="auto"/>
              <w:ind w:left="1946" w:hanging="1946"/>
              <w:jc w:val="left"/>
              <w:rPr>
                <w:rFonts w:ascii="宋体" w:cs="Times New Roman"/>
                <w:sz w:val="28"/>
                <w:szCs w:val="28"/>
              </w:rPr>
            </w:pPr>
          </w:p>
        </w:tc>
        <w:tc>
          <w:tcPr>
            <w:tcW w:w="1560" w:type="dxa"/>
          </w:tcPr>
          <w:p>
            <w:pPr>
              <w:snapToGrid w:val="0"/>
              <w:spacing w:line="360" w:lineRule="auto"/>
              <w:ind w:left="1946" w:hanging="1946"/>
              <w:jc w:val="left"/>
              <w:rPr>
                <w:rFonts w:ascii="宋体" w:cs="Times New Roman"/>
                <w:sz w:val="28"/>
                <w:szCs w:val="28"/>
              </w:rPr>
            </w:pPr>
          </w:p>
        </w:tc>
        <w:tc>
          <w:tcPr>
            <w:tcW w:w="1559" w:type="dxa"/>
          </w:tcPr>
          <w:p>
            <w:pPr>
              <w:snapToGrid w:val="0"/>
              <w:spacing w:line="360" w:lineRule="auto"/>
              <w:ind w:left="1946" w:hanging="1946"/>
              <w:jc w:val="left"/>
              <w:rPr>
                <w:rFonts w:ascii="宋体" w:cs="Times New Roman"/>
                <w:sz w:val="28"/>
                <w:szCs w:val="28"/>
              </w:rPr>
            </w:pPr>
          </w:p>
        </w:tc>
        <w:tc>
          <w:tcPr>
            <w:tcW w:w="992" w:type="dxa"/>
          </w:tcPr>
          <w:p>
            <w:pPr>
              <w:snapToGrid w:val="0"/>
              <w:spacing w:line="360" w:lineRule="auto"/>
              <w:ind w:left="1946" w:hanging="1946"/>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577" w:type="dxa"/>
          </w:tcPr>
          <w:p>
            <w:pPr>
              <w:snapToGrid w:val="0"/>
              <w:spacing w:line="360" w:lineRule="auto"/>
              <w:ind w:left="1946" w:hanging="1946"/>
              <w:jc w:val="left"/>
              <w:rPr>
                <w:rFonts w:ascii="宋体" w:cs="Times New Roman"/>
                <w:sz w:val="28"/>
                <w:szCs w:val="28"/>
              </w:rPr>
            </w:pPr>
          </w:p>
        </w:tc>
        <w:tc>
          <w:tcPr>
            <w:tcW w:w="1701" w:type="dxa"/>
          </w:tcPr>
          <w:p>
            <w:pPr>
              <w:snapToGrid w:val="0"/>
              <w:spacing w:line="360" w:lineRule="auto"/>
              <w:ind w:left="1946" w:hanging="1946"/>
              <w:jc w:val="left"/>
              <w:rPr>
                <w:rFonts w:ascii="宋体" w:cs="Times New Roman"/>
                <w:sz w:val="28"/>
                <w:szCs w:val="28"/>
              </w:rPr>
            </w:pPr>
          </w:p>
        </w:tc>
        <w:tc>
          <w:tcPr>
            <w:tcW w:w="1560" w:type="dxa"/>
          </w:tcPr>
          <w:p>
            <w:pPr>
              <w:snapToGrid w:val="0"/>
              <w:spacing w:line="360" w:lineRule="auto"/>
              <w:ind w:left="1946" w:hanging="1946"/>
              <w:jc w:val="left"/>
              <w:rPr>
                <w:rFonts w:ascii="宋体" w:cs="Times New Roman"/>
                <w:sz w:val="28"/>
                <w:szCs w:val="28"/>
              </w:rPr>
            </w:pPr>
          </w:p>
        </w:tc>
        <w:tc>
          <w:tcPr>
            <w:tcW w:w="1559" w:type="dxa"/>
          </w:tcPr>
          <w:p>
            <w:pPr>
              <w:snapToGrid w:val="0"/>
              <w:spacing w:line="360" w:lineRule="auto"/>
              <w:ind w:left="1946" w:hanging="1946"/>
              <w:jc w:val="left"/>
              <w:rPr>
                <w:rFonts w:ascii="宋体" w:cs="Times New Roman"/>
                <w:sz w:val="28"/>
                <w:szCs w:val="28"/>
              </w:rPr>
            </w:pPr>
          </w:p>
        </w:tc>
        <w:tc>
          <w:tcPr>
            <w:tcW w:w="992" w:type="dxa"/>
          </w:tcPr>
          <w:p>
            <w:pPr>
              <w:snapToGrid w:val="0"/>
              <w:spacing w:line="360" w:lineRule="auto"/>
              <w:ind w:left="1946" w:hanging="1946"/>
              <w:jc w:val="left"/>
              <w:rPr>
                <w:rFonts w:ascii="宋体" w:cs="Times New Roman"/>
                <w:sz w:val="28"/>
                <w:szCs w:val="28"/>
              </w:rPr>
            </w:pPr>
          </w:p>
        </w:tc>
      </w:tr>
    </w:tbl>
    <w:p>
      <w:pPr>
        <w:snapToGrid w:val="0"/>
        <w:spacing w:line="360" w:lineRule="auto"/>
        <w:ind w:left="1954" w:hanging="1954"/>
        <w:jc w:val="left"/>
        <w:rPr>
          <w:rFonts w:ascii="宋体" w:cs="Times New Roman"/>
          <w:b/>
          <w:bCs/>
          <w:sz w:val="28"/>
          <w:szCs w:val="28"/>
        </w:rPr>
      </w:pPr>
    </w:p>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（六）、投标报价函（格式）</w:t>
      </w:r>
    </w:p>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投标报价函</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淮北相王医药连锁有限公司：</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我们已全面研究了“淮北市相王医药防疫站设备采购招标文件”，并熟知招标文件的各项规定，我方同意按招标文件规定的全部条件投标。投标报价如下：</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投标报价：人民币元（价款大写）</w:t>
      </w:r>
    </w:p>
    <w:p>
      <w:pPr>
        <w:snapToGrid w:val="0"/>
        <w:spacing w:line="360" w:lineRule="auto"/>
        <w:ind w:left="1663" w:hanging="1663" w:hangingChars="594"/>
        <w:jc w:val="left"/>
        <w:rPr>
          <w:rFonts w:cs="Times New Roman"/>
          <w:sz w:val="28"/>
          <w:szCs w:val="28"/>
        </w:rPr>
      </w:pPr>
      <w:r>
        <w:rPr>
          <w:rFonts w:hint="eastAsia" w:ascii="宋体" w:hAnsi="宋体" w:cs="宋体"/>
          <w:sz w:val="28"/>
          <w:szCs w:val="28"/>
        </w:rPr>
        <w:t>供货日期：天（指供应货物全部运至指定交货地点的时间</w:t>
      </w:r>
      <w:r>
        <w:rPr>
          <w:rFonts w:hint="eastAsia" w:cs="宋体"/>
          <w:sz w:val="28"/>
          <w:szCs w:val="28"/>
        </w:rPr>
        <w:t>要求报</w:t>
      </w:r>
    </w:p>
    <w:p>
      <w:pPr>
        <w:snapToGrid w:val="0"/>
        <w:spacing w:line="360" w:lineRule="auto"/>
        <w:ind w:left="1663" w:hanging="1663" w:hangingChars="594"/>
        <w:jc w:val="left"/>
        <w:rPr>
          <w:rFonts w:cs="Times New Roman"/>
          <w:sz w:val="28"/>
          <w:szCs w:val="28"/>
        </w:rPr>
      </w:pPr>
      <w:r>
        <w:rPr>
          <w:rFonts w:hint="eastAsia" w:cs="宋体"/>
          <w:sz w:val="28"/>
          <w:szCs w:val="28"/>
        </w:rPr>
        <w:t>最短交货期）</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交货方式：送货</w:t>
      </w:r>
    </w:p>
    <w:p>
      <w:pPr>
        <w:snapToGrid w:val="0"/>
        <w:spacing w:line="360" w:lineRule="auto"/>
        <w:ind w:left="1663" w:hanging="1663" w:hangingChars="594"/>
        <w:jc w:val="left"/>
        <w:rPr>
          <w:rFonts w:ascii="宋体" w:cs="Times New Roman"/>
          <w:sz w:val="28"/>
          <w:szCs w:val="28"/>
        </w:rPr>
      </w:pPr>
      <w:r>
        <w:rPr>
          <w:rFonts w:hint="eastAsia" w:ascii="宋体" w:hAnsi="宋体" w:cs="宋体"/>
          <w:sz w:val="28"/>
          <w:szCs w:val="28"/>
        </w:rPr>
        <w:t>交货地点：安徽皖北康复医院（西区），安徽省淮北市孟山北路</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我方一旦中标，将于收到中标通知书后的10个工作日内与贵方签订供货合同。如逾期不派代表签约。贵单位有权没收投标保证金，并视为我方自动放弃中标资格。</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我方承诺，在与贵方签订合同后立即组织生产，保证在合同期内提供全套合格产品并运送至施工地点，货物在途运输的风险由我方承担。</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我方理解，如我方未中标，贵方有权不作任何解释。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本投标书在开标后的</w:t>
      </w:r>
      <w:r>
        <w:rPr>
          <w:rFonts w:ascii="宋体" w:hAnsi="宋体" w:cs="宋体"/>
          <w:sz w:val="28"/>
          <w:szCs w:val="28"/>
        </w:rPr>
        <w:t>60</w:t>
      </w:r>
      <w:r>
        <w:rPr>
          <w:rFonts w:hint="eastAsia" w:ascii="宋体" w:hAnsi="宋体" w:cs="宋体"/>
          <w:sz w:val="28"/>
          <w:szCs w:val="28"/>
        </w:rPr>
        <w:t>日内均有效，在合同未签订前，将构成约束贵我双方的协议。</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投标人公章</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法定代表人：</w:t>
      </w:r>
    </w:p>
    <w:p>
      <w:pPr>
        <w:snapToGrid w:val="0"/>
        <w:spacing w:line="360" w:lineRule="auto"/>
        <w:ind w:left="0" w:firstLine="2959" w:firstLineChars="1057"/>
        <w:jc w:val="center"/>
        <w:rPr>
          <w:rFonts w:ascii="宋体" w:cs="Times New Roman"/>
          <w:b/>
          <w:bCs/>
          <w:sz w:val="28"/>
          <w:szCs w:val="28"/>
        </w:rPr>
      </w:pPr>
      <w:r>
        <w:rPr>
          <w:rFonts w:hint="eastAsia" w:ascii="宋体" w:hAnsi="宋体" w:cs="宋体"/>
          <w:sz w:val="28"/>
          <w:szCs w:val="28"/>
        </w:rPr>
        <w:t>委托代理人：</w:t>
      </w:r>
    </w:p>
    <w:p>
      <w:pPr>
        <w:snapToGrid w:val="0"/>
        <w:spacing w:line="360" w:lineRule="auto"/>
        <w:ind w:left="0" w:firstLine="1820" w:firstLineChars="650"/>
        <w:jc w:val="center"/>
        <w:rPr>
          <w:rFonts w:ascii="宋体" w:cs="Times New Roman"/>
          <w:sz w:val="28"/>
          <w:szCs w:val="28"/>
        </w:rPr>
      </w:pPr>
      <w:r>
        <w:rPr>
          <w:rFonts w:hint="eastAsia" w:ascii="宋体" w:hAnsi="宋体" w:cs="宋体"/>
          <w:sz w:val="28"/>
          <w:szCs w:val="28"/>
        </w:rPr>
        <w:t>日期（年、月、日）</w:t>
      </w:r>
    </w:p>
    <w:p>
      <w:pPr>
        <w:snapToGrid w:val="0"/>
        <w:spacing w:line="360" w:lineRule="auto"/>
        <w:ind w:left="826" w:hanging="826" w:hangingChars="294"/>
        <w:jc w:val="left"/>
        <w:rPr>
          <w:rFonts w:ascii="宋体" w:cs="Times New Roman"/>
          <w:b/>
          <w:bCs/>
          <w:sz w:val="28"/>
          <w:szCs w:val="28"/>
        </w:rPr>
      </w:pPr>
      <w:r>
        <w:rPr>
          <w:rFonts w:hint="eastAsia" w:ascii="宋体" w:hAnsi="宋体" w:cs="宋体"/>
          <w:b/>
          <w:bCs/>
          <w:sz w:val="28"/>
          <w:szCs w:val="28"/>
        </w:rPr>
        <w:t>说明：“投标报价函”是投标文件的重要组成部分，投标方须按招标文件给定格式和要求填写“投标报价函”；“供货日期”是指投标方将中标货物运至指定交货地点或满足招标要求所需要的最短时间，要求填写具体天数；招标方要求“投标报价函”装订在投标文件中。</w:t>
      </w:r>
    </w:p>
    <w:p>
      <w:pPr>
        <w:snapToGrid w:val="0"/>
        <w:spacing w:line="360" w:lineRule="auto"/>
        <w:ind w:firstLine="1968" w:firstLineChars="700"/>
        <w:jc w:val="left"/>
        <w:rPr>
          <w:rFonts w:ascii="宋体" w:cs="Times New Roman"/>
          <w:b/>
          <w:bCs/>
          <w:sz w:val="28"/>
          <w:szCs w:val="28"/>
        </w:rPr>
      </w:pPr>
    </w:p>
    <w:p>
      <w:pPr>
        <w:snapToGrid w:val="0"/>
        <w:spacing w:line="360" w:lineRule="auto"/>
        <w:ind w:firstLine="1968" w:firstLineChars="700"/>
        <w:jc w:val="left"/>
        <w:rPr>
          <w:rFonts w:ascii="宋体" w:cs="Times New Roman"/>
          <w:b/>
          <w:bCs/>
          <w:sz w:val="28"/>
          <w:szCs w:val="28"/>
        </w:rPr>
      </w:pPr>
      <w:r>
        <w:rPr>
          <w:rFonts w:hint="eastAsia" w:ascii="宋体" w:hAnsi="宋体" w:cs="宋体"/>
          <w:b/>
          <w:bCs/>
          <w:sz w:val="28"/>
          <w:szCs w:val="28"/>
        </w:rPr>
        <w:t>第三部分设备采购内容及技术要求</w:t>
      </w:r>
    </w:p>
    <w:p>
      <w:pPr>
        <w:pStyle w:val="9"/>
        <w:snapToGrid w:val="0"/>
        <w:spacing w:line="360" w:lineRule="auto"/>
        <w:ind w:left="0" w:firstLine="843" w:firstLineChars="300"/>
        <w:jc w:val="left"/>
        <w:rPr>
          <w:b/>
          <w:bCs/>
          <w:sz w:val="28"/>
          <w:szCs w:val="28"/>
        </w:rPr>
      </w:pPr>
      <w:r>
        <w:rPr>
          <w:rFonts w:hint="eastAsia" w:cs="宋体"/>
          <w:b/>
          <w:bCs/>
          <w:sz w:val="28"/>
          <w:szCs w:val="28"/>
        </w:rPr>
        <w:t>一、防疫设备（一包）：</w:t>
      </w:r>
    </w:p>
    <w:p>
      <w:pPr>
        <w:pStyle w:val="9"/>
        <w:snapToGrid w:val="0"/>
        <w:spacing w:line="360" w:lineRule="auto"/>
        <w:ind w:left="838" w:leftChars="399" w:firstLine="0" w:firstLineChars="0"/>
        <w:jc w:val="left"/>
        <w:rPr>
          <w:b/>
          <w:bCs/>
          <w:sz w:val="28"/>
          <w:szCs w:val="28"/>
        </w:rPr>
      </w:pPr>
      <w:r>
        <w:rPr>
          <w:rFonts w:hint="eastAsia" w:ascii="宋体" w:hAnsi="宋体"/>
          <w:sz w:val="28"/>
          <w:szCs w:val="28"/>
        </w:rPr>
        <w:t>（一）最高控制总价为8万元</w:t>
      </w:r>
      <w:r>
        <w:rPr>
          <w:rFonts w:hint="eastAsia" w:ascii="宋体" w:hAnsi="宋体" w:cs="宋体"/>
          <w:b/>
          <w:color w:val="000000"/>
          <w:kern w:val="0"/>
          <w:sz w:val="28"/>
          <w:szCs w:val="28"/>
          <w:shd w:val="clear" w:color="auto" w:fill="FFFFFF"/>
          <w:lang w:bidi="ar"/>
        </w:rPr>
        <w:t>。</w:t>
      </w:r>
      <w:r>
        <w:rPr>
          <w:rFonts w:hint="eastAsia" w:cs="宋体"/>
          <w:sz w:val="28"/>
          <w:szCs w:val="28"/>
        </w:rPr>
        <w:t>（投标报价包含投标设备的生产、运输和安装调试</w:t>
      </w:r>
      <w:r>
        <w:rPr>
          <w:rFonts w:hint="eastAsia" w:ascii="宋体" w:hAnsi="宋体" w:cs="宋体"/>
          <w:kern w:val="0"/>
          <w:sz w:val="28"/>
          <w:szCs w:val="28"/>
        </w:rPr>
        <w:t>人员培训等</w:t>
      </w:r>
      <w:r>
        <w:rPr>
          <w:rFonts w:hint="eastAsia" w:cs="宋体"/>
          <w:sz w:val="28"/>
          <w:szCs w:val="28"/>
        </w:rPr>
        <w:t>各种税费。）</w:t>
      </w:r>
    </w:p>
    <w:p>
      <w:pPr>
        <w:pStyle w:val="9"/>
        <w:snapToGrid w:val="0"/>
        <w:spacing w:line="360" w:lineRule="auto"/>
        <w:ind w:left="838" w:leftChars="399" w:firstLine="0" w:firstLineChars="0"/>
        <w:jc w:val="left"/>
        <w:rPr>
          <w:rFonts w:ascii="宋体" w:hAnsi="宋体"/>
          <w:sz w:val="28"/>
          <w:szCs w:val="28"/>
        </w:rPr>
      </w:pPr>
      <w:r>
        <w:rPr>
          <w:rFonts w:hint="eastAsia" w:ascii="宋体" w:hAnsi="宋体"/>
          <w:sz w:val="28"/>
          <w:szCs w:val="28"/>
        </w:rPr>
        <w:t>（二）、设备采购清单及主要设备技术参数配置要求</w:t>
      </w:r>
    </w:p>
    <w:p>
      <w:pPr>
        <w:snapToGrid w:val="0"/>
        <w:spacing w:line="360" w:lineRule="auto"/>
        <w:ind w:left="838" w:firstLine="0" w:firstLineChars="0"/>
        <w:jc w:val="left"/>
        <w:rPr>
          <w:rFonts w:ascii="宋体" w:hAnsi="宋体"/>
          <w:sz w:val="28"/>
          <w:szCs w:val="28"/>
        </w:rPr>
      </w:pPr>
      <w:r>
        <w:rPr>
          <w:rFonts w:hint="eastAsia" w:ascii="宋体" w:hAnsi="宋体"/>
          <w:sz w:val="28"/>
          <w:szCs w:val="28"/>
        </w:rPr>
        <w:t>1、设备采购清单：顶空自动进样器一台。</w:t>
      </w:r>
    </w:p>
    <w:p>
      <w:pPr>
        <w:pStyle w:val="9"/>
        <w:snapToGrid w:val="0"/>
        <w:spacing w:line="360" w:lineRule="auto"/>
        <w:ind w:left="838" w:leftChars="399" w:firstLine="0" w:firstLineChars="0"/>
        <w:jc w:val="left"/>
        <w:rPr>
          <w:rFonts w:ascii="宋体" w:hAnsi="宋体"/>
          <w:sz w:val="28"/>
          <w:szCs w:val="28"/>
        </w:rPr>
      </w:pPr>
      <w:r>
        <w:rPr>
          <w:rFonts w:hint="eastAsia" w:ascii="宋体" w:hAnsi="宋体"/>
          <w:sz w:val="28"/>
          <w:szCs w:val="28"/>
        </w:rPr>
        <w:t>2、主要设备技术参数配置要求</w:t>
      </w:r>
    </w:p>
    <w:p>
      <w:pPr>
        <w:snapToGrid w:val="0"/>
        <w:spacing w:line="360" w:lineRule="auto"/>
        <w:ind w:left="838" w:firstLine="0" w:firstLineChars="0"/>
        <w:jc w:val="left"/>
        <w:rPr>
          <w:rFonts w:ascii="宋体" w:hAnsi="宋体"/>
          <w:sz w:val="28"/>
          <w:szCs w:val="28"/>
        </w:rPr>
      </w:pPr>
    </w:p>
    <w:p>
      <w:pPr>
        <w:pStyle w:val="9"/>
        <w:snapToGrid w:val="0"/>
        <w:spacing w:line="360" w:lineRule="auto"/>
        <w:ind w:left="838" w:leftChars="399" w:firstLine="0" w:firstLineChars="0"/>
        <w:jc w:val="left"/>
        <w:rPr>
          <w:rFonts w:ascii="宋体" w:hAnsi="宋体"/>
          <w:sz w:val="28"/>
          <w:szCs w:val="28"/>
        </w:rPr>
      </w:pPr>
    </w:p>
    <w:p>
      <w:pPr>
        <w:snapToGrid w:val="0"/>
        <w:spacing w:line="360" w:lineRule="auto"/>
        <w:ind w:left="420" w:leftChars="200" w:firstLine="281" w:firstLineChars="100"/>
        <w:jc w:val="left"/>
        <w:rPr>
          <w:rFonts w:cs="宋体"/>
          <w:b/>
          <w:bCs/>
          <w:sz w:val="28"/>
          <w:szCs w:val="28"/>
        </w:rPr>
      </w:pPr>
      <w:r>
        <w:rPr>
          <w:rFonts w:hint="eastAsia" w:hAnsi="宋体" w:cs="宋体"/>
          <w:b/>
          <w:bCs/>
          <w:sz w:val="28"/>
          <w:szCs w:val="28"/>
        </w:rPr>
        <w:t xml:space="preserve"> 2.1</w:t>
      </w:r>
      <w:r>
        <w:rPr>
          <w:rFonts w:hint="eastAsia" w:cs="宋体"/>
          <w:b/>
          <w:bCs/>
          <w:sz w:val="28"/>
          <w:szCs w:val="28"/>
          <w:lang w:val="zh-CN"/>
        </w:rPr>
        <w:t>顶空自动进样器（</w:t>
      </w:r>
      <w:r>
        <w:rPr>
          <w:rFonts w:hint="eastAsia" w:cs="宋体"/>
          <w:b/>
          <w:bCs/>
          <w:sz w:val="28"/>
          <w:szCs w:val="28"/>
        </w:rPr>
        <w:t>12位自动进样</w:t>
      </w:r>
      <w:r>
        <w:rPr>
          <w:rFonts w:hint="eastAsia" w:cs="宋体"/>
          <w:b/>
          <w:bCs/>
          <w:sz w:val="28"/>
          <w:szCs w:val="28"/>
          <w:lang w:val="zh-CN"/>
        </w:rPr>
        <w:t>）</w:t>
      </w:r>
    </w:p>
    <w:p>
      <w:pPr>
        <w:adjustRightInd w:val="0"/>
        <w:snapToGrid w:val="0"/>
        <w:spacing w:line="360" w:lineRule="auto"/>
        <w:ind w:left="838" w:leftChars="399" w:firstLine="0" w:firstLineChars="0"/>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2.1.</w:t>
      </w:r>
      <w:r>
        <w:rPr>
          <w:rFonts w:hint="eastAsia" w:ascii="宋体" w:hAnsi="宋体" w:cs="宋体"/>
          <w:kern w:val="0"/>
          <w:sz w:val="28"/>
          <w:szCs w:val="28"/>
        </w:rPr>
        <w:t>1、适合安捷伦7890B气相色谱仪的接口；</w:t>
      </w:r>
    </w:p>
    <w:p>
      <w:pPr>
        <w:adjustRightInd w:val="0"/>
        <w:snapToGrid w:val="0"/>
        <w:spacing w:line="360" w:lineRule="auto"/>
        <w:ind w:left="838" w:leftChars="399" w:firstLine="0" w:firstLineChars="0"/>
        <w:jc w:val="left"/>
        <w:rPr>
          <w:rFonts w:ascii="宋体" w:hAnsi="宋体" w:cs="宋体"/>
          <w:kern w:val="0"/>
          <w:sz w:val="28"/>
          <w:szCs w:val="28"/>
        </w:rPr>
      </w:pPr>
      <w:r>
        <w:rPr>
          <w:rFonts w:ascii="宋体" w:hAnsi="宋体" w:cs="宋体"/>
          <w:sz w:val="28"/>
          <w:szCs w:val="28"/>
        </w:rPr>
        <w:t>*</w:t>
      </w:r>
      <w:r>
        <w:rPr>
          <w:rFonts w:hint="eastAsia" w:ascii="宋体" w:hAnsi="宋体" w:cs="宋体"/>
          <w:kern w:val="0"/>
          <w:sz w:val="28"/>
          <w:szCs w:val="28"/>
        </w:rPr>
        <w:t>2.1.2、自动检漏，全自动样品瓶检漏功能可在加压过程中检查每个样品瓶，无需执行耗时的校准过程，即可确保每个样品瓶均已正确密封；</w:t>
      </w:r>
    </w:p>
    <w:p>
      <w:pPr>
        <w:adjustRightInd w:val="0"/>
        <w:snapToGrid w:val="0"/>
        <w:spacing w:line="360" w:lineRule="auto"/>
        <w:ind w:left="838" w:leftChars="399" w:firstLine="0" w:firstLineChars="0"/>
        <w:jc w:val="left"/>
        <w:rPr>
          <w:rFonts w:ascii="宋体" w:hAnsi="宋体" w:cs="宋体"/>
          <w:kern w:val="0"/>
          <w:sz w:val="28"/>
          <w:szCs w:val="28"/>
        </w:rPr>
      </w:pPr>
      <w:r>
        <w:rPr>
          <w:rFonts w:hint="eastAsia" w:ascii="宋体" w:hAnsi="宋体" w:cs="宋体"/>
          <w:kern w:val="0"/>
          <w:sz w:val="28"/>
          <w:szCs w:val="28"/>
        </w:rPr>
        <w:t>2.1.3、优先级样品位置，可在序列中增加晚到达的重要样品，而无须停止和重新开始；</w:t>
      </w:r>
    </w:p>
    <w:p>
      <w:pPr>
        <w:adjustRightInd w:val="0"/>
        <w:snapToGrid w:val="0"/>
        <w:spacing w:line="360" w:lineRule="auto"/>
        <w:ind w:left="838" w:leftChars="399" w:firstLine="0" w:firstLineChars="0"/>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2.1.</w:t>
      </w:r>
      <w:r>
        <w:rPr>
          <w:rFonts w:hint="eastAsia" w:ascii="宋体" w:hAnsi="宋体" w:cs="宋体"/>
          <w:kern w:val="0"/>
          <w:sz w:val="28"/>
          <w:szCs w:val="28"/>
        </w:rPr>
        <w:t>4、气压补偿，无论实验室环境的变化，始终提供更高的精密度；保持日间和不同实验室间的结果一致性；独立控制顶空瓶压和柱头压，通过确保在样品传输过程中无背压，实现更高的精度；</w:t>
      </w:r>
    </w:p>
    <w:p>
      <w:pPr>
        <w:adjustRightInd w:val="0"/>
        <w:snapToGrid w:val="0"/>
        <w:spacing w:line="360" w:lineRule="auto"/>
        <w:ind w:left="838" w:leftChars="399" w:firstLine="0" w:firstLineChars="0"/>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2.1.</w:t>
      </w:r>
      <w:r>
        <w:rPr>
          <w:rFonts w:hint="eastAsia" w:ascii="宋体" w:hAnsi="宋体" w:cs="宋体"/>
          <w:kern w:val="0"/>
          <w:sz w:val="28"/>
          <w:szCs w:val="28"/>
        </w:rPr>
        <w:t>5、惰性的镍样品通道，可使样品避免交叉污染、损失或降解；</w:t>
      </w:r>
    </w:p>
    <w:p>
      <w:pPr>
        <w:adjustRightInd w:val="0"/>
        <w:snapToGrid w:val="0"/>
        <w:spacing w:line="360" w:lineRule="auto"/>
        <w:ind w:left="838" w:leftChars="399" w:firstLine="0" w:firstLineChars="0"/>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2.1.</w:t>
      </w:r>
      <w:r>
        <w:rPr>
          <w:rFonts w:hint="eastAsia" w:ascii="宋体" w:hAnsi="宋体" w:cs="宋体"/>
          <w:kern w:val="0"/>
          <w:sz w:val="28"/>
          <w:szCs w:val="28"/>
        </w:rPr>
        <w:t>6、样品瓶摇动功能以确保样品具有代表性；</w:t>
      </w:r>
    </w:p>
    <w:p>
      <w:pPr>
        <w:adjustRightInd w:val="0"/>
        <w:snapToGrid w:val="0"/>
        <w:spacing w:line="360" w:lineRule="auto"/>
        <w:ind w:left="838" w:leftChars="399" w:firstLine="0" w:firstLineChars="0"/>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2.1.</w:t>
      </w:r>
      <w:r>
        <w:rPr>
          <w:rFonts w:hint="eastAsia" w:ascii="宋体" w:hAnsi="宋体" w:cs="宋体"/>
          <w:kern w:val="0"/>
          <w:sz w:val="28"/>
          <w:szCs w:val="28"/>
        </w:rPr>
        <w:t>7、恒定的加热时间，以便具有相同参数的样品得到相同的处理；</w:t>
      </w:r>
    </w:p>
    <w:p>
      <w:pPr>
        <w:adjustRightInd w:val="0"/>
        <w:snapToGrid w:val="0"/>
        <w:spacing w:line="360" w:lineRule="auto"/>
        <w:ind w:left="838" w:leftChars="399" w:firstLine="0" w:firstLineChars="0"/>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2.1.</w:t>
      </w:r>
      <w:r>
        <w:rPr>
          <w:rFonts w:hint="eastAsia" w:ascii="宋体" w:hAnsi="宋体" w:cs="宋体"/>
          <w:kern w:val="0"/>
          <w:sz w:val="28"/>
          <w:szCs w:val="28"/>
        </w:rPr>
        <w:t>8、支持 10 mL、20 mL 或 22 mL 样品瓶，无需使用适配器。</w:t>
      </w:r>
    </w:p>
    <w:p>
      <w:pPr>
        <w:pStyle w:val="9"/>
        <w:snapToGrid w:val="0"/>
        <w:spacing w:line="360" w:lineRule="auto"/>
        <w:ind w:left="540" w:firstLine="281" w:firstLineChars="100"/>
        <w:jc w:val="left"/>
        <w:rPr>
          <w:rFonts w:cs="宋体"/>
          <w:b/>
          <w:bCs/>
          <w:sz w:val="28"/>
          <w:szCs w:val="28"/>
        </w:rPr>
      </w:pPr>
      <w:r>
        <w:rPr>
          <w:rFonts w:hint="eastAsia" w:cs="宋体"/>
          <w:b/>
          <w:bCs/>
          <w:sz w:val="28"/>
          <w:szCs w:val="28"/>
        </w:rPr>
        <w:t>二、防疫设备（二包）：</w:t>
      </w:r>
    </w:p>
    <w:p>
      <w:pPr>
        <w:pStyle w:val="9"/>
        <w:snapToGrid w:val="0"/>
        <w:spacing w:line="360" w:lineRule="auto"/>
        <w:ind w:left="819" w:leftChars="390" w:firstLine="0" w:firstLineChars="0"/>
        <w:jc w:val="left"/>
        <w:rPr>
          <w:rFonts w:ascii="宋体" w:hAnsi="宋体" w:cs="宋体"/>
          <w:kern w:val="0"/>
          <w:sz w:val="28"/>
          <w:szCs w:val="28"/>
        </w:rPr>
      </w:pPr>
      <w:r>
        <w:rPr>
          <w:rFonts w:hint="eastAsia" w:ascii="宋体" w:hAnsi="宋体" w:cs="宋体"/>
          <w:kern w:val="0"/>
          <w:sz w:val="28"/>
          <w:szCs w:val="28"/>
        </w:rPr>
        <w:t>（一）最高控制总价为10万元。</w:t>
      </w:r>
      <w:r>
        <w:rPr>
          <w:rFonts w:hint="eastAsia" w:cs="宋体"/>
          <w:sz w:val="28"/>
          <w:szCs w:val="28"/>
        </w:rPr>
        <w:t>投标报价包含投标设备的生产、运输和安装调试、</w:t>
      </w:r>
      <w:r>
        <w:rPr>
          <w:rFonts w:hint="eastAsia" w:ascii="宋体" w:hAnsi="宋体" w:cs="宋体"/>
          <w:kern w:val="0"/>
          <w:sz w:val="28"/>
          <w:szCs w:val="28"/>
        </w:rPr>
        <w:t>人员培训等</w:t>
      </w:r>
      <w:r>
        <w:rPr>
          <w:rFonts w:hint="eastAsia" w:cs="宋体"/>
          <w:sz w:val="28"/>
          <w:szCs w:val="28"/>
        </w:rPr>
        <w:t>其他各种费税。</w:t>
      </w:r>
      <w:r>
        <w:rPr>
          <w:rFonts w:hint="eastAsia" w:ascii="宋体" w:hAnsi="宋体" w:cs="宋体"/>
          <w:kern w:val="0"/>
          <w:sz w:val="28"/>
          <w:szCs w:val="28"/>
        </w:rPr>
        <w:t> </w:t>
      </w:r>
    </w:p>
    <w:p>
      <w:pPr>
        <w:pStyle w:val="9"/>
        <w:snapToGrid w:val="0"/>
        <w:spacing w:line="360" w:lineRule="auto"/>
        <w:ind w:left="540" w:firstLine="280" w:firstLineChars="100"/>
        <w:jc w:val="left"/>
        <w:rPr>
          <w:rFonts w:ascii="宋体" w:hAnsi="宋体" w:cs="宋体"/>
          <w:kern w:val="0"/>
          <w:sz w:val="28"/>
          <w:szCs w:val="28"/>
        </w:rPr>
      </w:pPr>
      <w:r>
        <w:rPr>
          <w:rFonts w:hint="eastAsia" w:ascii="宋体" w:hAnsi="宋体" w:cs="宋体"/>
          <w:kern w:val="0"/>
          <w:sz w:val="28"/>
          <w:szCs w:val="28"/>
        </w:rPr>
        <w:t>（二）设备采购清单及主要设备技术参数配置要求</w:t>
      </w:r>
    </w:p>
    <w:p>
      <w:pPr>
        <w:pStyle w:val="9"/>
        <w:snapToGrid w:val="0"/>
        <w:spacing w:line="360" w:lineRule="auto"/>
        <w:ind w:left="540" w:firstLine="280" w:firstLineChars="100"/>
        <w:jc w:val="left"/>
        <w:rPr>
          <w:rFonts w:ascii="宋体" w:hAnsi="宋体"/>
          <w:sz w:val="28"/>
          <w:szCs w:val="28"/>
        </w:rPr>
      </w:pPr>
      <w:r>
        <w:rPr>
          <w:rFonts w:hint="eastAsia" w:ascii="宋体" w:hAnsi="宋体"/>
          <w:sz w:val="28"/>
          <w:szCs w:val="28"/>
        </w:rPr>
        <w:t>1、设备采购清单：纯音听力计一台、声阻抗仪一台。</w:t>
      </w:r>
    </w:p>
    <w:p>
      <w:pPr>
        <w:pStyle w:val="9"/>
        <w:snapToGrid w:val="0"/>
        <w:spacing w:line="360" w:lineRule="auto"/>
        <w:ind w:left="540" w:firstLine="280" w:firstLineChars="100"/>
        <w:jc w:val="left"/>
        <w:rPr>
          <w:rFonts w:ascii="宋体" w:hAnsi="宋体"/>
          <w:sz w:val="28"/>
          <w:szCs w:val="28"/>
        </w:rPr>
      </w:pPr>
      <w:r>
        <w:rPr>
          <w:rFonts w:hint="eastAsia" w:ascii="宋体" w:hAnsi="宋体"/>
          <w:sz w:val="28"/>
          <w:szCs w:val="28"/>
        </w:rPr>
        <w:t>2、主要设备技术参数配置要求</w:t>
      </w:r>
    </w:p>
    <w:p>
      <w:pPr>
        <w:snapToGrid w:val="0"/>
        <w:spacing w:line="360" w:lineRule="auto"/>
        <w:ind w:left="0" w:firstLine="843" w:firstLineChars="300"/>
        <w:jc w:val="left"/>
        <w:rPr>
          <w:rFonts w:cs="宋体"/>
          <w:b/>
          <w:bCs/>
          <w:sz w:val="28"/>
          <w:szCs w:val="28"/>
          <w:lang w:val="zh-CN"/>
        </w:rPr>
      </w:pPr>
      <w:r>
        <w:rPr>
          <w:rFonts w:hint="eastAsia" w:cs="宋体"/>
          <w:b/>
          <w:bCs/>
          <w:sz w:val="28"/>
          <w:szCs w:val="28"/>
        </w:rPr>
        <w:t>2.1</w:t>
      </w:r>
      <w:r>
        <w:rPr>
          <w:rFonts w:hint="eastAsia" w:cs="宋体"/>
          <w:b/>
          <w:bCs/>
          <w:sz w:val="28"/>
          <w:szCs w:val="28"/>
          <w:lang w:val="zh-CN"/>
        </w:rPr>
        <w:t>纯音听力计</w:t>
      </w:r>
    </w:p>
    <w:p>
      <w:pPr>
        <w:ind w:left="1954" w:hanging="1954"/>
        <w:rPr>
          <w:rFonts w:ascii="宋体" w:hAnsi="宋体" w:cs="宋体"/>
          <w:sz w:val="28"/>
          <w:szCs w:val="36"/>
        </w:rPr>
      </w:pPr>
      <w:r>
        <w:rPr>
          <w:rFonts w:hint="eastAsia" w:cs="宋体"/>
          <w:b/>
          <w:bCs/>
          <w:sz w:val="28"/>
          <w:szCs w:val="28"/>
        </w:rPr>
        <w:t xml:space="preserve">      </w:t>
      </w:r>
      <w:r>
        <w:rPr>
          <w:rFonts w:hint="eastAsia" w:ascii="宋体" w:hAnsi="宋体" w:cs="宋体"/>
          <w:sz w:val="28"/>
          <w:szCs w:val="36"/>
        </w:rPr>
        <w:t>2.1.1、具有气导、骨导和掩蔽功能</w:t>
      </w:r>
    </w:p>
    <w:p>
      <w:pPr>
        <w:ind w:left="1941" w:leftChars="399" w:hanging="1103" w:hangingChars="394"/>
        <w:rPr>
          <w:rFonts w:ascii="宋体" w:hAnsi="宋体" w:cs="宋体"/>
          <w:sz w:val="28"/>
          <w:szCs w:val="36"/>
        </w:rPr>
      </w:pPr>
      <w:r>
        <w:rPr>
          <w:rFonts w:hint="eastAsia" w:ascii="宋体" w:hAnsi="宋体" w:cs="宋体"/>
          <w:sz w:val="28"/>
          <w:szCs w:val="36"/>
        </w:rPr>
        <w:t>2.1.2、刺激声包含：纯音、啭音和脉冲音</w:t>
      </w:r>
    </w:p>
    <w:p>
      <w:pPr>
        <w:ind w:left="1941" w:leftChars="399" w:hanging="1103" w:hangingChars="394"/>
        <w:rPr>
          <w:rFonts w:ascii="宋体" w:hAnsi="宋体" w:cs="宋体"/>
          <w:sz w:val="28"/>
          <w:szCs w:val="36"/>
        </w:rPr>
      </w:pPr>
      <w:r>
        <w:rPr>
          <w:rFonts w:hint="eastAsia" w:ascii="宋体" w:hAnsi="宋体" w:cs="宋体"/>
          <w:sz w:val="28"/>
          <w:szCs w:val="36"/>
        </w:rPr>
        <w:t>2.1.3、可进行自动阈值测试、自动筛查测试</w:t>
      </w:r>
    </w:p>
    <w:p>
      <w:pPr>
        <w:ind w:left="1941" w:leftChars="399" w:hanging="1103" w:hangingChars="394"/>
        <w:rPr>
          <w:rFonts w:ascii="宋体" w:hAnsi="宋体" w:cs="宋体"/>
          <w:sz w:val="28"/>
          <w:szCs w:val="36"/>
        </w:rPr>
      </w:pPr>
      <w:r>
        <w:rPr>
          <w:rFonts w:hint="eastAsia" w:ascii="宋体" w:hAnsi="宋体" w:cs="宋体"/>
          <w:sz w:val="28"/>
          <w:szCs w:val="36"/>
        </w:rPr>
        <w:t>2.1.4、主机可存储患者数据≥50组</w:t>
      </w:r>
    </w:p>
    <w:p>
      <w:pPr>
        <w:ind w:left="1941" w:leftChars="399" w:hanging="1103" w:hangingChars="394"/>
        <w:rPr>
          <w:rFonts w:ascii="宋体" w:hAnsi="宋体" w:cs="宋体"/>
          <w:sz w:val="28"/>
          <w:szCs w:val="36"/>
        </w:rPr>
      </w:pPr>
      <w:r>
        <w:rPr>
          <w:rFonts w:ascii="宋体" w:hAnsi="宋体" w:cs="宋体"/>
          <w:sz w:val="28"/>
          <w:szCs w:val="28"/>
        </w:rPr>
        <w:t>*</w:t>
      </w:r>
      <w:r>
        <w:rPr>
          <w:rFonts w:hint="eastAsia" w:ascii="宋体" w:hAnsi="宋体" w:cs="宋体"/>
          <w:sz w:val="28"/>
          <w:szCs w:val="28"/>
        </w:rPr>
        <w:t>2.1.5</w:t>
      </w:r>
      <w:r>
        <w:rPr>
          <w:rFonts w:hint="eastAsia" w:ascii="宋体" w:hAnsi="宋体" w:cs="宋体"/>
          <w:sz w:val="28"/>
          <w:szCs w:val="36"/>
        </w:rPr>
        <w:t>、用户可自定义设置检查项目</w:t>
      </w:r>
    </w:p>
    <w:p>
      <w:pPr>
        <w:ind w:left="1941" w:leftChars="399" w:hanging="1103" w:hangingChars="394"/>
        <w:rPr>
          <w:rFonts w:ascii="宋体" w:hAnsi="宋体" w:cs="宋体"/>
          <w:sz w:val="28"/>
          <w:szCs w:val="36"/>
        </w:rPr>
      </w:pPr>
      <w:r>
        <w:rPr>
          <w:rFonts w:ascii="宋体" w:hAnsi="宋体" w:cs="宋体"/>
          <w:sz w:val="28"/>
          <w:szCs w:val="28"/>
        </w:rPr>
        <w:t>*</w:t>
      </w:r>
      <w:r>
        <w:rPr>
          <w:rFonts w:hint="eastAsia" w:ascii="宋体" w:hAnsi="宋体" w:cs="宋体"/>
          <w:sz w:val="28"/>
          <w:szCs w:val="28"/>
        </w:rPr>
        <w:t>2.1.6</w:t>
      </w:r>
      <w:r>
        <w:rPr>
          <w:rFonts w:hint="eastAsia" w:ascii="宋体" w:hAnsi="宋体" w:cs="宋体"/>
          <w:sz w:val="28"/>
          <w:szCs w:val="36"/>
        </w:rPr>
        <w:t>、具有自动掩蔽助理功能，需要掩蔽时自动掩蔽助理</w:t>
      </w:r>
    </w:p>
    <w:p>
      <w:pPr>
        <w:ind w:left="1940" w:leftChars="532" w:hanging="823" w:hangingChars="294"/>
        <w:rPr>
          <w:rFonts w:ascii="宋体" w:hAnsi="宋体" w:cs="宋体"/>
          <w:sz w:val="28"/>
          <w:szCs w:val="36"/>
        </w:rPr>
      </w:pPr>
      <w:r>
        <w:rPr>
          <w:rFonts w:hint="eastAsia" w:ascii="宋体" w:hAnsi="宋体" w:cs="宋体"/>
          <w:sz w:val="28"/>
          <w:szCs w:val="36"/>
        </w:rPr>
        <w:t>功能会自动提醒。</w:t>
      </w:r>
    </w:p>
    <w:p>
      <w:pPr>
        <w:ind w:left="1941" w:leftChars="399" w:hanging="1103" w:hangingChars="394"/>
        <w:rPr>
          <w:rFonts w:ascii="宋体" w:hAnsi="宋体" w:cs="宋体"/>
          <w:sz w:val="28"/>
          <w:szCs w:val="36"/>
        </w:rPr>
      </w:pPr>
      <w:r>
        <w:rPr>
          <w:rFonts w:hint="eastAsia" w:ascii="宋体" w:hAnsi="宋体" w:cs="宋体"/>
          <w:sz w:val="28"/>
          <w:szCs w:val="36"/>
        </w:rPr>
        <w:t>2.1.7、掩蔽声是窄带噪声</w:t>
      </w:r>
    </w:p>
    <w:p>
      <w:pPr>
        <w:ind w:left="1941" w:leftChars="399" w:hanging="1103" w:hangingChars="394"/>
        <w:rPr>
          <w:rFonts w:ascii="宋体" w:hAnsi="宋体" w:cs="宋体"/>
          <w:sz w:val="28"/>
          <w:szCs w:val="36"/>
        </w:rPr>
      </w:pPr>
      <w:r>
        <w:rPr>
          <w:rFonts w:hint="eastAsia" w:ascii="宋体" w:hAnsi="宋体" w:cs="宋体"/>
          <w:sz w:val="28"/>
          <w:szCs w:val="36"/>
        </w:rPr>
        <w:t>2.1.8、可与测试软件连接进行数据存储和打印</w:t>
      </w:r>
    </w:p>
    <w:p>
      <w:pPr>
        <w:ind w:left="1941" w:leftChars="399" w:hanging="1103" w:hangingChars="394"/>
        <w:rPr>
          <w:rFonts w:ascii="宋体" w:hAnsi="宋体" w:cs="宋体"/>
          <w:sz w:val="28"/>
          <w:szCs w:val="36"/>
        </w:rPr>
      </w:pPr>
      <w:r>
        <w:rPr>
          <w:rFonts w:hint="eastAsia" w:ascii="宋体" w:hAnsi="宋体" w:cs="宋体"/>
          <w:sz w:val="28"/>
          <w:szCs w:val="36"/>
        </w:rPr>
        <w:t>2.1.9、刺激频率范围：气导频率范围：125~8000hz</w:t>
      </w:r>
    </w:p>
    <w:p>
      <w:pPr>
        <w:ind w:left="1946" w:hanging="1946"/>
        <w:rPr>
          <w:rFonts w:ascii="宋体" w:hAnsi="宋体" w:cs="宋体"/>
          <w:sz w:val="28"/>
          <w:szCs w:val="36"/>
        </w:rPr>
      </w:pPr>
      <w:r>
        <w:rPr>
          <w:rFonts w:hint="eastAsia" w:ascii="宋体" w:hAnsi="宋体" w:cs="宋体"/>
          <w:sz w:val="28"/>
          <w:szCs w:val="36"/>
        </w:rPr>
        <w:t xml:space="preserve">                   骨导频率范围：250~8000hz                </w:t>
      </w:r>
    </w:p>
    <w:p>
      <w:pPr>
        <w:ind w:left="1941" w:leftChars="399" w:hanging="1103" w:hangingChars="394"/>
        <w:rPr>
          <w:rFonts w:ascii="宋体" w:hAnsi="宋体" w:cs="宋体"/>
          <w:sz w:val="28"/>
          <w:szCs w:val="36"/>
        </w:rPr>
      </w:pPr>
      <w:r>
        <w:rPr>
          <w:rFonts w:hint="eastAsia" w:ascii="宋体" w:hAnsi="宋体" w:cs="宋体"/>
          <w:sz w:val="28"/>
          <w:szCs w:val="36"/>
        </w:rPr>
        <w:t>2.1.10、刺激强度范围：气导：-10~120dBHL,5dB步进</w:t>
      </w:r>
    </w:p>
    <w:p>
      <w:pPr>
        <w:ind w:left="1946" w:hanging="1946"/>
        <w:rPr>
          <w:rFonts w:ascii="宋体" w:hAnsi="宋体" w:cs="宋体"/>
          <w:sz w:val="28"/>
          <w:szCs w:val="36"/>
        </w:rPr>
      </w:pPr>
      <w:r>
        <w:rPr>
          <w:rFonts w:hint="eastAsia" w:ascii="宋体" w:hAnsi="宋体" w:cs="宋体"/>
          <w:sz w:val="28"/>
          <w:szCs w:val="36"/>
        </w:rPr>
        <w:t xml:space="preserve">                  骨导：-10~70 dBHL,5dB步进</w:t>
      </w:r>
    </w:p>
    <w:p>
      <w:pPr>
        <w:ind w:left="1940" w:leftChars="532" w:hanging="823" w:hangingChars="294"/>
        <w:rPr>
          <w:rFonts w:ascii="宋体" w:hAnsi="宋体" w:cs="宋体"/>
          <w:sz w:val="28"/>
          <w:szCs w:val="36"/>
        </w:rPr>
      </w:pPr>
      <w:r>
        <w:rPr>
          <w:rFonts w:hint="eastAsia" w:ascii="宋体" w:hAnsi="宋体" w:cs="宋体"/>
          <w:sz w:val="28"/>
          <w:szCs w:val="36"/>
        </w:rPr>
        <w:t>具有自动阈值测试与自动筛查测试：可选择正常与快速模式；可选择无结果频率阈值搜索；此功能用于大流量体检，当需要掩蔽时掩蔽助理会自动提醒</w:t>
      </w:r>
    </w:p>
    <w:p>
      <w:pPr>
        <w:ind w:left="1941" w:leftChars="399" w:hanging="1103" w:hangingChars="394"/>
        <w:rPr>
          <w:rFonts w:ascii="宋体" w:hAnsi="宋体" w:cs="宋体"/>
          <w:sz w:val="28"/>
          <w:szCs w:val="36"/>
        </w:rPr>
      </w:pPr>
      <w:r>
        <w:rPr>
          <w:rFonts w:hint="eastAsia" w:ascii="宋体" w:hAnsi="宋体" w:cs="宋体"/>
          <w:sz w:val="28"/>
          <w:szCs w:val="36"/>
        </w:rPr>
        <w:t>2.1.11、标准:符合听力计EN60645-1和ANSI S3.6的标准</w:t>
      </w:r>
    </w:p>
    <w:p>
      <w:pPr>
        <w:ind w:left="1941" w:leftChars="399" w:hanging="1103" w:hangingChars="394"/>
        <w:rPr>
          <w:rFonts w:ascii="宋体" w:cs="Times New Roman"/>
          <w:sz w:val="28"/>
          <w:szCs w:val="28"/>
        </w:rPr>
      </w:pPr>
      <w:r>
        <w:rPr>
          <w:rFonts w:ascii="宋体" w:hAnsi="宋体" w:cs="宋体"/>
          <w:sz w:val="28"/>
          <w:szCs w:val="28"/>
        </w:rPr>
        <w:t>*</w:t>
      </w:r>
      <w:r>
        <w:rPr>
          <w:rFonts w:hint="eastAsia" w:ascii="宋体" w:hAnsi="宋体" w:cs="宋体"/>
          <w:sz w:val="28"/>
          <w:szCs w:val="28"/>
        </w:rPr>
        <w:t>2.1.12</w:t>
      </w:r>
      <w:r>
        <w:rPr>
          <w:rFonts w:hint="eastAsia" w:ascii="宋体" w:hAnsi="宋体" w:cs="宋体"/>
          <w:sz w:val="28"/>
          <w:szCs w:val="36"/>
        </w:rPr>
        <w:t>、售后服务要求：省内有常驻售后机构，机器不出省就能维修校准，提供上门维修，并且提供备用机，需提供售后地址，及厂家认证单位名称。</w:t>
      </w:r>
    </w:p>
    <w:p>
      <w:pPr>
        <w:snapToGrid w:val="0"/>
        <w:spacing w:line="360" w:lineRule="auto"/>
        <w:ind w:left="420" w:leftChars="200" w:firstLine="281" w:firstLineChars="100"/>
        <w:jc w:val="left"/>
        <w:rPr>
          <w:rFonts w:cs="宋体"/>
          <w:b/>
          <w:bCs/>
          <w:sz w:val="28"/>
          <w:szCs w:val="28"/>
        </w:rPr>
      </w:pPr>
      <w:r>
        <w:rPr>
          <w:rFonts w:hint="eastAsia" w:cs="宋体"/>
          <w:b/>
          <w:bCs/>
          <w:sz w:val="28"/>
          <w:szCs w:val="28"/>
        </w:rPr>
        <w:t>2.2声阻抗仪</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2.2.</w:t>
      </w:r>
      <w:r>
        <w:rPr>
          <w:rFonts w:hint="eastAsia" w:ascii="宋体" w:hAnsi="宋体" w:cs="宋体"/>
          <w:kern w:val="0"/>
          <w:sz w:val="28"/>
          <w:szCs w:val="28"/>
        </w:rPr>
        <w:t>1.可做自动/手动鼓室图检测，可做完好/穿孔咽鼓管测试</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2.2.2.可选择自动/手动声反射测试方式</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2.2.3.具有声反射阈，声反射衰减，声反射潜伏期测试功能</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2.2.4.可自定义3种以上的测试程序</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2.2.</w:t>
      </w:r>
      <w:r>
        <w:rPr>
          <w:rFonts w:hint="eastAsia" w:ascii="宋体" w:hAnsi="宋体" w:cs="宋体"/>
          <w:kern w:val="0"/>
          <w:sz w:val="28"/>
          <w:szCs w:val="28"/>
        </w:rPr>
        <w:t>5.可进行全部的中耳分析测试和手动设置所有测试参数</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2.2.</w:t>
      </w:r>
      <w:r>
        <w:rPr>
          <w:rFonts w:hint="eastAsia" w:ascii="宋体" w:hAnsi="宋体" w:cs="宋体"/>
          <w:kern w:val="0"/>
          <w:sz w:val="28"/>
          <w:szCs w:val="28"/>
        </w:rPr>
        <w:t>6.纯音测听对侧/同侧刺激频率精确度均可达到±0.5%</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2.2.7.气压范围可扩展为+300～-500daPa</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2.2.8.有两种测试报告可选，高速热敏测试报告或者A4纸报告</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2.2.9. 声顺测试系统技术要求：</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探测音:226Hz,85dB SPL</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范围:0.1ml～8.0ml</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反射范围:—375ul至375ul</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鼓室图显示范围:自动扫描</w:t>
      </w:r>
      <w:r>
        <w:rPr>
          <w:rFonts w:hint="eastAsia" w:ascii="宋体" w:hAnsi="宋体" w:cs="宋体"/>
          <w:kern w:val="0"/>
          <w:sz w:val="28"/>
          <w:szCs w:val="28"/>
        </w:rPr>
        <w:tab/>
      </w:r>
      <w:r>
        <w:rPr>
          <w:rFonts w:hint="eastAsia" w:ascii="宋体" w:hAnsi="宋体" w:cs="宋体"/>
          <w:kern w:val="0"/>
          <w:sz w:val="28"/>
          <w:szCs w:val="28"/>
        </w:rPr>
        <w:t>定义正/负/双向0～1.5ml 0～3.0ml 0～4.5ml</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2.2.10.声反射测试技术要求：</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纯音:0.5、1、2、4kHz  频率精确度:±0.5%</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步进:1、2、5、10dB</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对侧刺激：正常范围:50～110dB HL  扩展范围:50～125dB HL</w:t>
      </w:r>
    </w:p>
    <w:p>
      <w:pPr>
        <w:widowControl/>
        <w:shd w:val="clear" w:color="auto" w:fill="FFFFFF"/>
        <w:snapToGrid w:val="0"/>
        <w:spacing w:line="360" w:lineRule="auto"/>
        <w:ind w:left="0" w:firstLine="548" w:firstLineChars="196"/>
        <w:jc w:val="left"/>
        <w:rPr>
          <w:rFonts w:ascii="宋体" w:hAnsi="宋体" w:cs="宋体"/>
          <w:kern w:val="0"/>
          <w:sz w:val="28"/>
          <w:szCs w:val="28"/>
        </w:rPr>
      </w:pPr>
      <w:r>
        <w:rPr>
          <w:rFonts w:hint="eastAsia" w:ascii="宋体" w:hAnsi="宋体" w:cs="宋体"/>
          <w:kern w:val="0"/>
          <w:sz w:val="28"/>
          <w:szCs w:val="28"/>
        </w:rPr>
        <w:t>同侧刺激：正常范围:50～115dB SPL(0.5、1、2kHz)  50～90dB SPL(4kHz)</w:t>
      </w:r>
    </w:p>
    <w:p>
      <w:pPr>
        <w:widowControl/>
        <w:shd w:val="clear" w:color="auto" w:fill="FFFFFF"/>
        <w:snapToGrid w:val="0"/>
        <w:spacing w:line="360" w:lineRule="auto"/>
        <w:ind w:left="1124" w:leftChars="266" w:hanging="565" w:hangingChars="202"/>
        <w:jc w:val="left"/>
        <w:rPr>
          <w:rFonts w:ascii="宋体" w:hAnsi="宋体" w:cs="宋体"/>
          <w:kern w:val="0"/>
          <w:sz w:val="28"/>
          <w:szCs w:val="28"/>
        </w:rPr>
      </w:pPr>
      <w:r>
        <w:rPr>
          <w:rFonts w:ascii="宋体" w:hAnsi="宋体" w:cs="宋体"/>
          <w:sz w:val="28"/>
          <w:szCs w:val="28"/>
        </w:rPr>
        <w:t>*</w:t>
      </w:r>
      <w:r>
        <w:rPr>
          <w:rFonts w:hint="eastAsia" w:ascii="宋体" w:hAnsi="宋体" w:cs="宋体"/>
          <w:sz w:val="28"/>
          <w:szCs w:val="28"/>
        </w:rPr>
        <w:t>2.2.</w:t>
      </w:r>
      <w:r>
        <w:rPr>
          <w:rFonts w:hint="eastAsia" w:ascii="宋体" w:hAnsi="宋体" w:cs="宋体"/>
          <w:kern w:val="0"/>
          <w:sz w:val="28"/>
          <w:szCs w:val="28"/>
        </w:rPr>
        <w:t>11.为保证售后，最好在本省有售后服务地址，可供考察，能保证有充足的备件及备用机</w:t>
      </w:r>
    </w:p>
    <w:p>
      <w:pPr>
        <w:snapToGrid w:val="0"/>
        <w:spacing w:line="360" w:lineRule="auto"/>
        <w:ind w:left="0" w:firstLine="562" w:firstLineChars="200"/>
        <w:jc w:val="left"/>
        <w:rPr>
          <w:rFonts w:cs="Times New Roman"/>
          <w:b/>
          <w:bCs/>
          <w:sz w:val="28"/>
          <w:szCs w:val="28"/>
        </w:rPr>
      </w:pPr>
      <w:r>
        <w:rPr>
          <w:rFonts w:hint="eastAsia" w:cs="宋体"/>
          <w:b/>
          <w:bCs/>
          <w:sz w:val="28"/>
          <w:szCs w:val="28"/>
        </w:rPr>
        <w:t>三、参标单位应提供</w:t>
      </w:r>
      <w:r>
        <w:rPr>
          <w:b/>
          <w:bCs/>
          <w:sz w:val="28"/>
          <w:szCs w:val="28"/>
        </w:rPr>
        <w:t>:</w:t>
      </w:r>
      <w:r>
        <w:rPr>
          <w:rFonts w:hint="eastAsia" w:cs="宋体"/>
          <w:b/>
          <w:bCs/>
          <w:sz w:val="28"/>
          <w:szCs w:val="28"/>
        </w:rPr>
        <w:t>近二年内，在安徽或周边地区医疗机构，同款医疗设</w:t>
      </w:r>
    </w:p>
    <w:p>
      <w:pPr>
        <w:snapToGrid w:val="0"/>
        <w:spacing w:line="360" w:lineRule="auto"/>
        <w:ind w:left="1949" w:leftChars="535" w:hanging="826" w:hangingChars="294"/>
        <w:jc w:val="left"/>
        <w:rPr>
          <w:rFonts w:cs="Times New Roman"/>
          <w:b/>
          <w:bCs/>
          <w:sz w:val="28"/>
          <w:szCs w:val="28"/>
        </w:rPr>
      </w:pPr>
      <w:r>
        <w:rPr>
          <w:rFonts w:hint="eastAsia" w:cs="宋体"/>
          <w:b/>
          <w:bCs/>
          <w:sz w:val="28"/>
          <w:szCs w:val="28"/>
        </w:rPr>
        <w:t>备销售清单及销售合同复印件。</w:t>
      </w:r>
    </w:p>
    <w:p>
      <w:pPr>
        <w:snapToGrid w:val="0"/>
        <w:spacing w:line="360" w:lineRule="auto"/>
        <w:ind w:left="0" w:firstLine="562" w:firstLineChars="200"/>
        <w:jc w:val="left"/>
        <w:rPr>
          <w:rFonts w:ascii="宋体" w:cs="Times New Roman"/>
          <w:b/>
          <w:bCs/>
          <w:sz w:val="28"/>
          <w:szCs w:val="28"/>
        </w:rPr>
      </w:pPr>
      <w:r>
        <w:rPr>
          <w:rFonts w:hint="eastAsia" w:ascii="宋体" w:hAnsi="宋体" w:cs="宋体"/>
          <w:b/>
          <w:bCs/>
          <w:sz w:val="28"/>
          <w:szCs w:val="28"/>
        </w:rPr>
        <w:t>四、具有“医疗器械产品注册登记表”和“中华人民共和国医疗器械注册证”。</w:t>
      </w:r>
    </w:p>
    <w:p>
      <w:pPr>
        <w:snapToGrid w:val="0"/>
        <w:spacing w:line="360" w:lineRule="auto"/>
        <w:ind w:left="1108" w:leftChars="268" w:hanging="545" w:hangingChars="194"/>
        <w:jc w:val="left"/>
        <w:rPr>
          <w:rFonts w:ascii="宋体" w:cs="Times New Roman"/>
          <w:b/>
          <w:bCs/>
          <w:sz w:val="28"/>
          <w:szCs w:val="28"/>
        </w:rPr>
      </w:pPr>
      <w:r>
        <w:rPr>
          <w:rFonts w:hint="eastAsia" w:ascii="宋体" w:hAnsi="宋体" w:cs="宋体"/>
          <w:b/>
          <w:bCs/>
          <w:sz w:val="28"/>
          <w:szCs w:val="28"/>
        </w:rPr>
        <w:t>五、设备的安装、调试及验收</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rPr>
        <w:t>（一）、安装、调试必须由取得安装资质的专业工程师进行。</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rPr>
        <w:t>（二）、技术资料</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rPr>
        <w:t>1、卖方须向买方提供操作手册一套。</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、卖方须向买方提供设备的运行、安装、使用环境要求。</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ascii="宋体" w:hAnsi="宋体" w:cs="宋体"/>
          <w:kern w:val="0"/>
          <w:sz w:val="28"/>
          <w:szCs w:val="28"/>
        </w:rPr>
        <w:t>3</w:t>
      </w:r>
      <w:r>
        <w:rPr>
          <w:rFonts w:hint="eastAsia" w:ascii="宋体" w:hAnsi="宋体" w:cs="宋体"/>
          <w:kern w:val="0"/>
          <w:sz w:val="28"/>
          <w:szCs w:val="28"/>
        </w:rPr>
        <w:t>、技术服务</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ascii="宋体" w:hAnsi="宋体" w:cs="宋体"/>
          <w:kern w:val="0"/>
          <w:sz w:val="28"/>
          <w:szCs w:val="28"/>
        </w:rPr>
        <w:t>3.1</w:t>
      </w:r>
      <w:r>
        <w:rPr>
          <w:rFonts w:hint="eastAsia" w:ascii="宋体" w:hAnsi="宋体" w:cs="宋体"/>
          <w:kern w:val="0"/>
          <w:sz w:val="28"/>
          <w:szCs w:val="28"/>
        </w:rPr>
        <w:t>、在货物到达使用单位后，卖方应在</w:t>
      </w:r>
      <w:r>
        <w:rPr>
          <w:rFonts w:ascii="宋体" w:hAnsi="宋体" w:cs="宋体"/>
          <w:kern w:val="0"/>
          <w:sz w:val="28"/>
          <w:szCs w:val="28"/>
        </w:rPr>
        <w:t>7</w:t>
      </w:r>
      <w:r>
        <w:rPr>
          <w:rFonts w:hint="eastAsia" w:ascii="宋体" w:hAnsi="宋体" w:cs="宋体"/>
          <w:kern w:val="0"/>
          <w:sz w:val="28"/>
          <w:szCs w:val="28"/>
        </w:rPr>
        <w:t>天内派技术人员到达现场，在买方技术人员在场的情况下开箱清点货物，组织安装、调试，并承担因此发生的一切费用。若设备经验收不合格，买方将拒绝收货，此时货物毁损灭失的风险由卖方承担。</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ascii="宋体" w:hAnsi="宋体" w:cs="宋体"/>
          <w:kern w:val="0"/>
          <w:sz w:val="28"/>
          <w:szCs w:val="28"/>
        </w:rPr>
        <w:t>3.2</w:t>
      </w:r>
      <w:r>
        <w:rPr>
          <w:rFonts w:hint="eastAsia" w:ascii="宋体" w:hAnsi="宋体" w:cs="宋体"/>
          <w:kern w:val="0"/>
          <w:sz w:val="28"/>
          <w:szCs w:val="28"/>
        </w:rPr>
        <w:t>、设备安装后，按国家标准进行质量验收。卖方应向买方提供详细的验收标准、验收手册。买方有权委托中国有资格的单位对上述仪器进行精度校核。</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ascii="宋体" w:hAnsi="宋体" w:cs="宋体"/>
          <w:kern w:val="0"/>
          <w:sz w:val="28"/>
          <w:szCs w:val="28"/>
        </w:rPr>
        <w:t>4</w:t>
      </w:r>
      <w:r>
        <w:rPr>
          <w:rFonts w:hint="eastAsia" w:ascii="宋体" w:hAnsi="宋体" w:cs="宋体"/>
          <w:kern w:val="0"/>
          <w:sz w:val="28"/>
          <w:szCs w:val="28"/>
        </w:rPr>
        <w:t>、备品备件、专用工具</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备品备件应列出清单及单价。</w:t>
      </w:r>
    </w:p>
    <w:p>
      <w:pPr>
        <w:snapToGrid w:val="0"/>
        <w:spacing w:line="360" w:lineRule="auto"/>
        <w:ind w:left="1954" w:leftChars="269" w:hanging="1389" w:hangingChars="494"/>
        <w:jc w:val="left"/>
        <w:rPr>
          <w:rFonts w:ascii="宋体" w:cs="Times New Roman"/>
          <w:b/>
          <w:bCs/>
          <w:sz w:val="28"/>
          <w:szCs w:val="28"/>
        </w:rPr>
      </w:pPr>
      <w:bookmarkStart w:id="0" w:name="_Toc211769022"/>
      <w:r>
        <w:rPr>
          <w:rFonts w:hint="eastAsia" w:ascii="宋体" w:hAnsi="宋体" w:cs="宋体"/>
          <w:b/>
          <w:bCs/>
          <w:sz w:val="28"/>
          <w:szCs w:val="28"/>
        </w:rPr>
        <w:t>六、人员培训</w:t>
      </w:r>
      <w:bookmarkEnd w:id="0"/>
      <w:bookmarkStart w:id="1" w:name="_Toc211769023"/>
    </w:p>
    <w:p>
      <w:pPr>
        <w:snapToGrid w:val="0"/>
        <w:spacing w:line="360" w:lineRule="auto"/>
        <w:ind w:left="1942" w:leftChars="266" w:hanging="1383" w:hangingChars="494"/>
        <w:jc w:val="left"/>
        <w:rPr>
          <w:rFonts w:ascii="宋体" w:cs="Times New Roman"/>
          <w:kern w:val="0"/>
          <w:sz w:val="28"/>
          <w:szCs w:val="28"/>
        </w:rPr>
      </w:pPr>
      <w:r>
        <w:rPr>
          <w:rFonts w:hint="eastAsia" w:ascii="宋体" w:hAnsi="宋体" w:cs="宋体"/>
          <w:kern w:val="0"/>
          <w:sz w:val="28"/>
          <w:szCs w:val="28"/>
        </w:rPr>
        <w:t>卖方应提供现场或外出技术培训，保证使用人员正常操作设备的各种功能。</w:t>
      </w:r>
    </w:p>
    <w:p>
      <w:pPr>
        <w:snapToGrid w:val="0"/>
        <w:spacing w:line="360" w:lineRule="auto"/>
        <w:ind w:left="1954" w:leftChars="269" w:hanging="1389" w:hangingChars="494"/>
        <w:jc w:val="left"/>
        <w:rPr>
          <w:rFonts w:cs="Times New Roman"/>
          <w:sz w:val="28"/>
          <w:szCs w:val="28"/>
        </w:rPr>
      </w:pPr>
      <w:r>
        <w:rPr>
          <w:rFonts w:hint="eastAsia" w:ascii="宋体" w:hAnsi="宋体" w:cs="宋体"/>
          <w:b/>
          <w:bCs/>
          <w:sz w:val="28"/>
          <w:szCs w:val="28"/>
        </w:rPr>
        <w:t>七、</w:t>
      </w:r>
      <w:bookmarkEnd w:id="1"/>
      <w:r>
        <w:rPr>
          <w:rFonts w:hint="eastAsia" w:ascii="宋体" w:hAnsi="宋体" w:cs="宋体"/>
          <w:b/>
          <w:bCs/>
          <w:sz w:val="28"/>
          <w:szCs w:val="28"/>
        </w:rPr>
        <w:t>售后服务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（一）、在本省境内有专业维修工程师，提供详细的售后服务计划；</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hint="eastAsia" w:ascii="宋体" w:hAnsi="宋体" w:cs="宋体"/>
          <w:kern w:val="0"/>
          <w:sz w:val="28"/>
          <w:szCs w:val="28"/>
        </w:rPr>
        <w:t>（二）、提供售后服务承诺书，保修期为设备经验收合格双方签字后算起。在保修期内设备运行中发生问题，维修人员</w:t>
      </w:r>
      <w:r>
        <w:rPr>
          <w:rFonts w:ascii="宋体" w:hAnsi="宋体" w:cs="宋体"/>
          <w:kern w:val="0"/>
          <w:sz w:val="28"/>
          <w:szCs w:val="28"/>
        </w:rPr>
        <w:t>2</w:t>
      </w:r>
      <w:r>
        <w:rPr>
          <w:rFonts w:hint="eastAsia" w:ascii="宋体" w:hAnsi="宋体" w:cs="宋体"/>
          <w:kern w:val="0"/>
          <w:sz w:val="28"/>
          <w:szCs w:val="28"/>
        </w:rPr>
        <w:t>小时响应，</w:t>
      </w:r>
      <w:r>
        <w:rPr>
          <w:rFonts w:ascii="宋体" w:hAnsi="宋体" w:cs="宋体"/>
          <w:kern w:val="0"/>
          <w:sz w:val="28"/>
          <w:szCs w:val="28"/>
        </w:rPr>
        <w:t>24</w:t>
      </w:r>
      <w:r>
        <w:rPr>
          <w:rFonts w:hint="eastAsia" w:ascii="宋体" w:hAnsi="宋体" w:cs="宋体"/>
          <w:kern w:val="0"/>
          <w:sz w:val="28"/>
          <w:szCs w:val="28"/>
        </w:rPr>
        <w:t>－</w:t>
      </w:r>
      <w:r>
        <w:rPr>
          <w:rFonts w:ascii="宋体" w:hAnsi="宋体" w:cs="宋体"/>
          <w:kern w:val="0"/>
          <w:sz w:val="28"/>
          <w:szCs w:val="28"/>
        </w:rPr>
        <w:t>48</w:t>
      </w:r>
      <w:r>
        <w:rPr>
          <w:rFonts w:hint="eastAsia" w:ascii="宋体" w:hAnsi="宋体" w:cs="宋体"/>
          <w:kern w:val="0"/>
          <w:sz w:val="28"/>
          <w:szCs w:val="28"/>
        </w:rPr>
        <w:t>小时到达现场，提供免费服务。此期间内若配件损坏，投标人应免费更换损坏的零部件，更换的部件从更换之日起保修一年。</w:t>
      </w:r>
    </w:p>
    <w:p>
      <w:pPr>
        <w:widowControl/>
        <w:shd w:val="clear" w:color="auto" w:fill="FFFFFF"/>
        <w:snapToGrid w:val="0"/>
        <w:spacing w:line="360" w:lineRule="auto"/>
        <w:ind w:left="839" w:leftChars="266" w:hanging="280" w:hangingChars="100"/>
        <w:jc w:val="left"/>
        <w:rPr>
          <w:rFonts w:ascii="宋体" w:cs="Times New Roman"/>
          <w:kern w:val="0"/>
          <w:sz w:val="28"/>
          <w:szCs w:val="28"/>
        </w:rPr>
      </w:pPr>
      <w:r>
        <w:rPr>
          <w:rFonts w:hint="eastAsia" w:ascii="宋体" w:hAnsi="宋体" w:cs="宋体"/>
          <w:kern w:val="0"/>
          <w:sz w:val="28"/>
          <w:szCs w:val="28"/>
        </w:rPr>
        <w:t>（三）、设备由厂家专业工程师提供终身维修服务，保修期外的维修只收取材料费，免收服务费。三个月定期回访一次，并于使用达到二年时对所有设备予以免费检修保养一次。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（四）、采购单位需对设备升级时，投标人必须提供免费升级服务。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rPr>
        <w:t>（五）、投标人应确保主要设备开机率≥</w:t>
      </w:r>
      <w:r>
        <w:rPr>
          <w:rFonts w:ascii="宋体" w:hAnsi="宋体" w:cs="宋体"/>
          <w:kern w:val="0"/>
          <w:sz w:val="28"/>
          <w:szCs w:val="28"/>
        </w:rPr>
        <w:t>95</w:t>
      </w:r>
      <w:r>
        <w:rPr>
          <w:rFonts w:hint="eastAsia" w:ascii="宋体" w:hAnsi="宋体" w:cs="宋体"/>
          <w:kern w:val="0"/>
          <w:sz w:val="28"/>
          <w:szCs w:val="28"/>
        </w:rPr>
        <w:t>％。</w:t>
      </w:r>
    </w:p>
    <w:p>
      <w:pPr>
        <w:snapToGrid w:val="0"/>
        <w:spacing w:line="360" w:lineRule="auto"/>
        <w:ind w:left="1961" w:leftChars="934" w:firstLine="573" w:firstLineChars="204"/>
        <w:jc w:val="left"/>
        <w:rPr>
          <w:rFonts w:ascii="宋体" w:cs="Times New Roman"/>
          <w:b/>
          <w:bCs/>
          <w:sz w:val="28"/>
          <w:szCs w:val="28"/>
        </w:rPr>
      </w:pPr>
      <w:r>
        <w:rPr>
          <w:rFonts w:hint="eastAsia" w:ascii="宋体" w:hAnsi="宋体" w:cs="宋体"/>
          <w:b/>
          <w:bCs/>
          <w:sz w:val="28"/>
          <w:szCs w:val="28"/>
        </w:rPr>
        <w:t>第四部分：合同的主要条款</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一、设备价格：投标价格包括设备</w:t>
      </w:r>
      <w:r>
        <w:rPr>
          <w:rFonts w:hint="eastAsia" w:ascii="宋体" w:hAnsi="宋体" w:cs="宋体"/>
          <w:sz w:val="28"/>
          <w:szCs w:val="28"/>
          <w:shd w:val="clear" w:color="auto" w:fill="FFFFFF"/>
        </w:rPr>
        <w:t>搬运、安装、调试、验收前的所有投入和收益。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二、设备款的支付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（一）、设备无预付款。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（二）、设备运抵现场验收合格后支付合同价款的</w:t>
      </w:r>
      <w:r>
        <w:rPr>
          <w:rFonts w:ascii="宋体" w:hAnsi="宋体" w:cs="宋体"/>
          <w:sz w:val="28"/>
          <w:szCs w:val="28"/>
        </w:rPr>
        <w:t>60%</w:t>
      </w:r>
      <w:r>
        <w:rPr>
          <w:rFonts w:hint="eastAsia" w:ascii="宋体" w:hAnsi="宋体" w:cs="宋体"/>
          <w:sz w:val="28"/>
          <w:szCs w:val="28"/>
        </w:rPr>
        <w:t>，设备安装竣工试运行验收合格后支付剩余的合同价款。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（三）、在质量保证期内，若设备非我方原因出现质量和运行问题，造成我方损失的，从履约保证金中扣除。剩余的履约保证金在质保期满后无息退还。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（四）、中标方提供增值税专用发票。</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三、中标单位须按期交货，迟延交货的，按每天</w:t>
      </w:r>
      <w:r>
        <w:rPr>
          <w:rFonts w:ascii="宋体" w:hAnsi="宋体" w:cs="宋体"/>
          <w:sz w:val="28"/>
          <w:szCs w:val="28"/>
        </w:rPr>
        <w:t>1000</w:t>
      </w:r>
      <w:r>
        <w:rPr>
          <w:rFonts w:hint="eastAsia" w:ascii="宋体" w:hAnsi="宋体" w:cs="宋体"/>
          <w:sz w:val="28"/>
          <w:szCs w:val="28"/>
        </w:rPr>
        <w:t>元交纳违约金。当违约金达到合同总价款的</w:t>
      </w:r>
      <w:r>
        <w:rPr>
          <w:rFonts w:ascii="宋体" w:hAnsi="宋体" w:cs="宋体"/>
          <w:sz w:val="28"/>
          <w:szCs w:val="28"/>
        </w:rPr>
        <w:t>5</w:t>
      </w:r>
      <w:r>
        <w:rPr>
          <w:rFonts w:hint="eastAsia" w:ascii="宋体" w:hAnsi="宋体" w:cs="宋体"/>
          <w:sz w:val="28"/>
          <w:szCs w:val="28"/>
        </w:rPr>
        <w:t>％时，招标方有权终止合同，另选供货单位。由此产生的一切后果由违约方负全部责任。</w:t>
      </w: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rPr>
        <w:t>四、运输和交货地点</w:t>
      </w: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rPr>
        <w:t>（一）、设备的交货地点为安徽皖北康复医院（西区）。</w:t>
      </w:r>
    </w:p>
    <w:p>
      <w:pPr>
        <w:snapToGrid w:val="0"/>
        <w:spacing w:line="360" w:lineRule="auto"/>
        <w:ind w:left="559" w:leftChars="266" w:firstLine="0" w:firstLineChars="0"/>
        <w:jc w:val="left"/>
        <w:rPr>
          <w:rFonts w:ascii="宋体" w:hAnsi="宋体" w:cs="宋体"/>
          <w:sz w:val="28"/>
          <w:szCs w:val="28"/>
        </w:rPr>
      </w:pPr>
      <w:r>
        <w:rPr>
          <w:rFonts w:hint="eastAsia" w:ascii="宋体" w:hAnsi="宋体" w:cs="宋体"/>
          <w:sz w:val="28"/>
          <w:szCs w:val="28"/>
        </w:rPr>
        <w:t>（二）、设备在途运输的，运输途中若设备发生毁损灭失的，此风险由卖方承担；买方在设备到达交货地点并验收合格以前不承担设备毁损灭失的风险。</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五、质保期：质量保证期为一年。质量保证期从设备安装验收合格后开始计算。投标人投标时承诺的质保期以及产品本身的质量保证期大于一年的，执行投标承诺或产品本身的质量保证期。质保期内，中标人对设备免费包修。</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六、售后服务：按投标书承诺执行，投标文件中投标人提供的配件价格作为参考。</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七、违约责任及解决办法：按《合同法》执行，拒绝履行合同义务的一方应当承担违约责任。如有争议应协商解决，协商不成的，由淮北仲裁委员会仲裁。</w:t>
      </w:r>
    </w:p>
    <w:p>
      <w:pPr>
        <w:snapToGrid w:val="0"/>
        <w:spacing w:line="360" w:lineRule="auto"/>
        <w:ind w:left="1961" w:leftChars="934" w:firstLine="852" w:firstLineChars="303"/>
        <w:jc w:val="left"/>
        <w:rPr>
          <w:rFonts w:cs="Times New Roman"/>
          <w:b/>
          <w:bCs/>
          <w:sz w:val="28"/>
          <w:szCs w:val="28"/>
        </w:rPr>
      </w:pPr>
      <w:r>
        <w:rPr>
          <w:rFonts w:hint="eastAsia" w:cs="宋体"/>
          <w:b/>
          <w:bCs/>
          <w:sz w:val="28"/>
          <w:szCs w:val="28"/>
        </w:rPr>
        <w:t>第五部分：评标办法</w:t>
      </w:r>
    </w:p>
    <w:p>
      <w:pPr>
        <w:snapToGrid w:val="0"/>
        <w:spacing w:line="360" w:lineRule="auto"/>
        <w:ind w:left="0" w:firstLine="560" w:firstLineChars="200"/>
        <w:jc w:val="left"/>
        <w:rPr>
          <w:rFonts w:cs="Times New Roman"/>
          <w:sz w:val="28"/>
          <w:szCs w:val="28"/>
        </w:rPr>
      </w:pPr>
      <w:r>
        <w:rPr>
          <w:rFonts w:hint="eastAsia" w:cs="宋体"/>
          <w:sz w:val="28"/>
          <w:szCs w:val="28"/>
        </w:rPr>
        <w:t>一、招标人组建评标委员会，评标委员会按照评标办法的规定进行评分。</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（一）、开标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1、　投标人参加开招标会议，参加会议的代表应携带该企业法人代表的授权委托书签名报到，以证明其出席。</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2、　标书开封时，招标人当众宣读投标人名称、投标价格、供货日期。产品技术性能等情况由投标人向在场评委陈述。</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3、　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4.1、投标文件未按招标文件要求密封；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4.2、投标文件送交时间已超过招标文件规定的投标截止时间；</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4.3、无电子版投标文件。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（二）、评标</w:t>
      </w:r>
    </w:p>
    <w:p>
      <w:pPr>
        <w:snapToGrid w:val="0"/>
        <w:spacing w:line="360" w:lineRule="auto"/>
        <w:ind w:left="1942" w:leftChars="266" w:hanging="1383" w:hangingChars="494"/>
        <w:jc w:val="left"/>
        <w:rPr>
          <w:rFonts w:ascii="宋体" w:cs="Times New Roman"/>
          <w:sz w:val="28"/>
          <w:szCs w:val="28"/>
        </w:rPr>
      </w:pPr>
      <w:r>
        <w:rPr>
          <w:rFonts w:hint="eastAsia" w:ascii="宋体" w:hAnsi="宋体" w:cs="宋体"/>
          <w:sz w:val="28"/>
          <w:szCs w:val="28"/>
        </w:rPr>
        <w:t>1、评标工作由招标单位依法组建的评标委员会负责，评标委员会，首先审查投标人资格文件，资格审查合格后，对具备实质上响应的投标文件进行评估和比较。</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2、评委评标独立进行，不按招标文件规定的评标办法评分，该评委的评分无效。评标过程中的审查、评比的有关资料，均属保密，不得向投标方及其他无关人员透露。</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3、投标人不得企图向评委及招标方代表施加任何影响，否则将会导致投标作废。</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5、评标委员会将拒绝被确定为非实质性响应的投标，投标人不能通过修正或撤销不符之处而使其投标成为实质性响应的投标。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6评标委员会严格按照招标文件的要求进行公正评标。</w:t>
      </w:r>
    </w:p>
    <w:p>
      <w:pPr>
        <w:numPr>
          <w:ilvl w:val="0"/>
          <w:numId w:val="1"/>
        </w:numPr>
        <w:ind w:left="495" w:leftChars="-695" w:hanging="1954"/>
        <w:rPr>
          <w:rFonts w:ascii="宋体" w:cs="Times New Roman"/>
          <w:sz w:val="28"/>
          <w:szCs w:val="28"/>
        </w:rPr>
      </w:pPr>
      <w:r>
        <w:rPr>
          <w:rFonts w:hint="eastAsia" w:ascii="宋体" w:hAnsi="宋体" w:cs="宋体"/>
          <w:b/>
          <w:bCs/>
          <w:sz w:val="28"/>
          <w:szCs w:val="28"/>
        </w:rPr>
        <w:t xml:space="preserve">         7、综合评分标准见下表</w:t>
      </w:r>
    </w:p>
    <w:tbl>
      <w:tblPr>
        <w:tblStyle w:val="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98"/>
        <w:gridCol w:w="85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2"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序号</w:t>
            </w:r>
          </w:p>
        </w:tc>
        <w:tc>
          <w:tcPr>
            <w:tcW w:w="1498"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评价项目</w:t>
            </w:r>
          </w:p>
        </w:tc>
        <w:tc>
          <w:tcPr>
            <w:tcW w:w="856"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分值</w:t>
            </w:r>
          </w:p>
        </w:tc>
        <w:tc>
          <w:tcPr>
            <w:tcW w:w="6644"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1</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投标</w:t>
            </w:r>
          </w:p>
          <w:p>
            <w:pPr>
              <w:ind w:left="0" w:firstLine="0" w:firstLineChars="0"/>
              <w:jc w:val="center"/>
              <w:rPr>
                <w:rFonts w:ascii="宋体" w:cs="宋体"/>
                <w:sz w:val="25"/>
                <w:szCs w:val="25"/>
              </w:rPr>
            </w:pPr>
            <w:r>
              <w:rPr>
                <w:rFonts w:hint="eastAsia" w:ascii="宋体" w:hAnsi="宋体" w:cs="宋体"/>
                <w:sz w:val="25"/>
                <w:szCs w:val="25"/>
              </w:rPr>
              <w:t>总报价</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所有通过评审的有效报价，最低报价为评标基准价满分</w:t>
            </w:r>
            <w:r>
              <w:rPr>
                <w:rFonts w:ascii="宋体" w:hAnsi="宋体" w:cs="宋体"/>
                <w:sz w:val="25"/>
                <w:szCs w:val="25"/>
              </w:rPr>
              <w:t>40</w:t>
            </w:r>
            <w:r>
              <w:rPr>
                <w:rFonts w:hint="eastAsia" w:ascii="宋体" w:hAnsi="宋体" w:cs="宋体"/>
                <w:sz w:val="25"/>
                <w:szCs w:val="25"/>
              </w:rPr>
              <w:t>。报价得分</w:t>
            </w:r>
            <w:r>
              <w:rPr>
                <w:rFonts w:ascii="宋体" w:hAnsi="宋体" w:cs="宋体"/>
                <w:sz w:val="25"/>
                <w:szCs w:val="25"/>
              </w:rPr>
              <w:t>=</w:t>
            </w:r>
            <w:r>
              <w:rPr>
                <w:rFonts w:hint="eastAsia" w:ascii="宋体" w:hAnsi="宋体" w:cs="宋体"/>
                <w:sz w:val="25"/>
                <w:szCs w:val="25"/>
              </w:rPr>
              <w:t>（评标基准价</w:t>
            </w:r>
            <w:r>
              <w:rPr>
                <w:rFonts w:ascii="宋体" w:hAnsi="宋体" w:cs="宋体"/>
                <w:sz w:val="25"/>
                <w:szCs w:val="25"/>
              </w:rPr>
              <w:t>/</w:t>
            </w:r>
            <w:r>
              <w:rPr>
                <w:rFonts w:hint="eastAsia" w:ascii="宋体" w:hAnsi="宋体" w:cs="宋体"/>
                <w:sz w:val="25"/>
                <w:szCs w:val="25"/>
              </w:rPr>
              <w:t>投标报价）×</w:t>
            </w:r>
            <w:r>
              <w:rPr>
                <w:rFonts w:ascii="宋体" w:hAnsi="宋体" w:cs="宋体"/>
                <w:sz w:val="25"/>
                <w:szCs w:val="25"/>
              </w:rPr>
              <w:t>40</w:t>
            </w:r>
            <w:r>
              <w:rPr>
                <w:rFonts w:hint="eastAsia" w:ascii="宋体" w:hAnsi="宋体" w:cs="宋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2</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综合</w:t>
            </w:r>
          </w:p>
          <w:p>
            <w:pPr>
              <w:ind w:left="0" w:firstLine="0" w:firstLineChars="0"/>
              <w:jc w:val="center"/>
              <w:rPr>
                <w:rFonts w:ascii="宋体" w:cs="宋体"/>
                <w:sz w:val="25"/>
                <w:szCs w:val="25"/>
              </w:rPr>
            </w:pPr>
            <w:r>
              <w:rPr>
                <w:rFonts w:hint="eastAsia" w:ascii="宋体" w:hAnsi="宋体" w:cs="宋体"/>
                <w:sz w:val="25"/>
                <w:szCs w:val="25"/>
              </w:rPr>
              <w:t>实力</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ascii="宋体" w:cs="宋体"/>
                <w:sz w:val="25"/>
                <w:szCs w:val="25"/>
              </w:rPr>
            </w:pPr>
            <w:r>
              <w:rPr>
                <w:rFonts w:ascii="宋体" w:hAnsi="宋体" w:cs="宋体"/>
                <w:sz w:val="25"/>
                <w:szCs w:val="25"/>
              </w:rPr>
              <w:t>1</w:t>
            </w:r>
            <w:r>
              <w:rPr>
                <w:rFonts w:hint="eastAsia" w:ascii="宋体" w:hAnsi="宋体" w:cs="宋体"/>
                <w:sz w:val="25"/>
                <w:szCs w:val="25"/>
              </w:rPr>
              <w:t>、提供</w:t>
            </w:r>
            <w:r>
              <w:rPr>
                <w:rFonts w:ascii="宋体" w:hAnsi="宋体" w:cs="宋体"/>
                <w:sz w:val="25"/>
                <w:szCs w:val="25"/>
              </w:rPr>
              <w:t>2018</w:t>
            </w:r>
            <w:r>
              <w:rPr>
                <w:rFonts w:hint="eastAsia" w:ascii="宋体" w:hAnsi="宋体" w:cs="宋体"/>
                <w:sz w:val="25"/>
                <w:szCs w:val="25"/>
              </w:rPr>
              <w:t>年</w:t>
            </w:r>
            <w:r>
              <w:rPr>
                <w:rFonts w:ascii="宋体" w:hAnsi="宋体" w:cs="宋体"/>
                <w:sz w:val="25"/>
                <w:szCs w:val="25"/>
              </w:rPr>
              <w:t>1</w:t>
            </w:r>
            <w:r>
              <w:rPr>
                <w:rFonts w:hint="eastAsia" w:ascii="宋体" w:hAnsi="宋体" w:cs="宋体"/>
                <w:sz w:val="25"/>
                <w:szCs w:val="25"/>
              </w:rPr>
              <w:t>月</w:t>
            </w:r>
            <w:r>
              <w:rPr>
                <w:rFonts w:ascii="宋体" w:hAnsi="宋体" w:cs="宋体"/>
                <w:sz w:val="25"/>
                <w:szCs w:val="25"/>
              </w:rPr>
              <w:t>1</w:t>
            </w:r>
            <w:r>
              <w:rPr>
                <w:rFonts w:hint="eastAsia" w:ascii="宋体" w:hAnsi="宋体" w:cs="宋体"/>
                <w:sz w:val="25"/>
                <w:szCs w:val="25"/>
              </w:rPr>
              <w:t>日以来的销售业绩证明（提供销售合同复印件和联系电话）</w:t>
            </w:r>
            <w:r>
              <w:rPr>
                <w:rFonts w:ascii="宋体" w:hAnsi="宋体" w:cs="宋体"/>
                <w:sz w:val="25"/>
                <w:szCs w:val="25"/>
              </w:rPr>
              <w:t>12</w:t>
            </w:r>
            <w:r>
              <w:rPr>
                <w:rFonts w:hint="eastAsia" w:ascii="宋体" w:hAnsi="宋体" w:cs="宋体"/>
                <w:sz w:val="25"/>
                <w:szCs w:val="25"/>
              </w:rPr>
              <w:t>分：每一份合同中体现单个本次招标设备的得</w:t>
            </w:r>
            <w:r>
              <w:rPr>
                <w:rFonts w:ascii="宋体" w:hAnsi="宋体" w:cs="宋体"/>
                <w:sz w:val="25"/>
                <w:szCs w:val="25"/>
              </w:rPr>
              <w:t>1</w:t>
            </w:r>
            <w:r>
              <w:rPr>
                <w:rFonts w:hint="eastAsia" w:ascii="宋体" w:hAnsi="宋体" w:cs="宋体"/>
                <w:sz w:val="25"/>
                <w:szCs w:val="25"/>
              </w:rPr>
              <w:t>分，一份合同中有两个本次招标设备的的得</w:t>
            </w:r>
            <w:r>
              <w:rPr>
                <w:rFonts w:ascii="宋体" w:hAnsi="宋体" w:cs="宋体"/>
                <w:sz w:val="25"/>
                <w:szCs w:val="25"/>
              </w:rPr>
              <w:t>2</w:t>
            </w:r>
            <w:r>
              <w:rPr>
                <w:rFonts w:hint="eastAsia" w:ascii="宋体" w:hAnsi="宋体" w:cs="宋体"/>
                <w:sz w:val="25"/>
                <w:szCs w:val="25"/>
              </w:rPr>
              <w:t>分，提供的销售合同中每增加一个本次招标设备加一分，没有的</w:t>
            </w:r>
            <w:r>
              <w:rPr>
                <w:rFonts w:ascii="宋体" w:hAnsi="宋体" w:cs="宋体"/>
                <w:sz w:val="25"/>
                <w:szCs w:val="25"/>
              </w:rPr>
              <w:t>0</w:t>
            </w:r>
            <w:r>
              <w:rPr>
                <w:rFonts w:hint="eastAsia" w:ascii="宋体" w:hAnsi="宋体" w:cs="宋体"/>
                <w:sz w:val="25"/>
                <w:szCs w:val="25"/>
              </w:rPr>
              <w:t>分，最高的</w:t>
            </w:r>
            <w:r>
              <w:rPr>
                <w:rFonts w:ascii="宋体" w:hAnsi="宋体" w:cs="宋体"/>
                <w:sz w:val="25"/>
                <w:szCs w:val="25"/>
              </w:rPr>
              <w:t>12</w:t>
            </w:r>
            <w:r>
              <w:rPr>
                <w:rFonts w:hint="eastAsia" w:ascii="宋体" w:hAnsi="宋体" w:cs="宋体"/>
                <w:sz w:val="25"/>
                <w:szCs w:val="25"/>
              </w:rPr>
              <w:t>分。</w:t>
            </w:r>
          </w:p>
          <w:p>
            <w:pPr>
              <w:ind w:left="0" w:firstLine="0" w:firstLineChars="0"/>
              <w:rPr>
                <w:rFonts w:ascii="宋体" w:cs="宋体"/>
                <w:sz w:val="25"/>
                <w:szCs w:val="25"/>
              </w:rPr>
            </w:pPr>
            <w:r>
              <w:rPr>
                <w:rFonts w:ascii="宋体" w:hAnsi="宋体" w:cs="宋体"/>
                <w:sz w:val="25"/>
                <w:szCs w:val="25"/>
              </w:rPr>
              <w:t>2</w:t>
            </w:r>
            <w:r>
              <w:rPr>
                <w:rFonts w:hint="eastAsia" w:ascii="宋体" w:hAnsi="宋体" w:cs="宋体"/>
                <w:sz w:val="25"/>
                <w:szCs w:val="25"/>
              </w:rPr>
              <w:t>、注册资金：</w:t>
            </w:r>
            <w:r>
              <w:rPr>
                <w:rFonts w:ascii="宋体" w:hAnsi="宋体" w:cs="宋体"/>
                <w:sz w:val="25"/>
                <w:szCs w:val="25"/>
              </w:rPr>
              <w:t xml:space="preserve"> 100</w:t>
            </w:r>
            <w:r>
              <w:rPr>
                <w:rFonts w:hint="eastAsia" w:ascii="宋体" w:hAnsi="宋体" w:cs="宋体"/>
                <w:sz w:val="25"/>
                <w:szCs w:val="25"/>
              </w:rPr>
              <w:t>万以下的</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100-500</w:t>
            </w:r>
            <w:r>
              <w:rPr>
                <w:rFonts w:hint="eastAsia" w:ascii="宋体" w:hAnsi="宋体" w:cs="宋体"/>
                <w:sz w:val="25"/>
                <w:szCs w:val="25"/>
              </w:rPr>
              <w:t>万的得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500</w:t>
            </w:r>
            <w:r>
              <w:rPr>
                <w:rFonts w:hint="eastAsia" w:ascii="宋体" w:hAnsi="宋体" w:cs="宋体"/>
                <w:sz w:val="25"/>
                <w:szCs w:val="25"/>
              </w:rPr>
              <w:t>万以上得</w:t>
            </w:r>
            <w:r>
              <w:rPr>
                <w:rFonts w:ascii="宋体" w:hAnsi="宋体" w:cs="宋体"/>
                <w:sz w:val="25"/>
                <w:szCs w:val="25"/>
              </w:rPr>
              <w:t>3</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3</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备品</w:t>
            </w:r>
          </w:p>
          <w:p>
            <w:pPr>
              <w:ind w:left="0" w:firstLine="0" w:firstLineChars="0"/>
              <w:jc w:val="center"/>
              <w:rPr>
                <w:rFonts w:ascii="宋体" w:cs="宋体"/>
                <w:sz w:val="25"/>
                <w:szCs w:val="25"/>
              </w:rPr>
            </w:pPr>
            <w:r>
              <w:rPr>
                <w:rFonts w:hint="eastAsia" w:ascii="宋体" w:hAnsi="宋体" w:cs="宋体"/>
                <w:sz w:val="25"/>
                <w:szCs w:val="25"/>
              </w:rPr>
              <w:t>备件</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提供备件品牌、型号、价格，根据数量和总体价格综合比较，分为，优</w:t>
            </w:r>
            <w:r>
              <w:rPr>
                <w:rFonts w:ascii="宋体" w:hAnsi="宋体" w:cs="宋体"/>
                <w:sz w:val="25"/>
                <w:szCs w:val="25"/>
              </w:rPr>
              <w:t>4</w:t>
            </w:r>
            <w:r>
              <w:rPr>
                <w:rFonts w:hint="eastAsia" w:ascii="宋体" w:hAnsi="宋体" w:cs="宋体"/>
                <w:sz w:val="25"/>
                <w:szCs w:val="25"/>
              </w:rPr>
              <w:t>分，良1－</w:t>
            </w:r>
            <w:r>
              <w:rPr>
                <w:rFonts w:ascii="宋体" w:hAnsi="宋体" w:cs="宋体"/>
                <w:sz w:val="25"/>
                <w:szCs w:val="25"/>
              </w:rPr>
              <w:t>3</w:t>
            </w:r>
            <w:r>
              <w:rPr>
                <w:rFonts w:hint="eastAsia" w:ascii="宋体" w:hAnsi="宋体" w:cs="宋体"/>
                <w:sz w:val="25"/>
                <w:szCs w:val="25"/>
              </w:rPr>
              <w:t>分，一般0分。其中，品种最为齐全、价格最低为优；品种最少、价格最高为一般。处于两者之间为良。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能正偏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正偏离</w:t>
            </w:r>
            <w:r>
              <w:rPr>
                <w:rFonts w:ascii="宋体" w:hAnsi="宋体" w:cs="宋体"/>
                <w:sz w:val="25"/>
                <w:szCs w:val="25"/>
              </w:rPr>
              <w:t>10</w:t>
            </w:r>
            <w:r>
              <w:rPr>
                <w:rFonts w:hint="eastAsia" w:ascii="宋体" w:hAnsi="宋体" w:cs="宋体"/>
                <w:sz w:val="25"/>
                <w:szCs w:val="25"/>
              </w:rPr>
              <w:t>分，每个正偏离得</w:t>
            </w:r>
            <w:r>
              <w:rPr>
                <w:rFonts w:ascii="宋体" w:hAnsi="宋体" w:cs="宋体"/>
                <w:sz w:val="25"/>
                <w:szCs w:val="25"/>
              </w:rPr>
              <w:t>1</w:t>
            </w:r>
            <w:r>
              <w:rPr>
                <w:rFonts w:hint="eastAsia" w:ascii="宋体" w:hAnsi="宋体" w:cs="宋体"/>
                <w:sz w:val="25"/>
                <w:szCs w:val="25"/>
              </w:rPr>
              <w:t>分，最高</w:t>
            </w:r>
            <w:r>
              <w:rPr>
                <w:rFonts w:ascii="宋体" w:hAnsi="宋体" w:cs="宋体"/>
                <w:sz w:val="25"/>
                <w:szCs w:val="25"/>
              </w:rPr>
              <w:t>10</w:t>
            </w:r>
            <w:r>
              <w:rPr>
                <w:rFonts w:hint="eastAsia" w:ascii="宋体" w:hAnsi="宋体" w:cs="宋体"/>
                <w:sz w:val="25"/>
                <w:szCs w:val="25"/>
              </w:rPr>
              <w:t>分，没有得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5</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能负偏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无负偏离得</w:t>
            </w:r>
            <w:r>
              <w:rPr>
                <w:rFonts w:ascii="宋体" w:hAnsi="宋体" w:cs="宋体"/>
                <w:sz w:val="25"/>
                <w:szCs w:val="25"/>
              </w:rPr>
              <w:t>10</w:t>
            </w:r>
            <w:r>
              <w:rPr>
                <w:rFonts w:hint="eastAsia" w:ascii="宋体" w:hAnsi="宋体" w:cs="宋体"/>
                <w:sz w:val="25"/>
                <w:szCs w:val="25"/>
              </w:rPr>
              <w:t>分，技术指标每偏离一项扣减</w:t>
            </w:r>
            <w:r>
              <w:rPr>
                <w:rFonts w:ascii="宋体" w:hAnsi="宋体" w:cs="宋体"/>
                <w:sz w:val="25"/>
                <w:szCs w:val="25"/>
              </w:rPr>
              <w:t>2</w:t>
            </w:r>
            <w:r>
              <w:rPr>
                <w:rFonts w:hint="eastAsia" w:ascii="宋体" w:hAnsi="宋体" w:cs="宋体"/>
                <w:sz w:val="25"/>
                <w:szCs w:val="25"/>
              </w:rPr>
              <w:t>分，最多扣</w:t>
            </w:r>
            <w:r>
              <w:rPr>
                <w:rFonts w:ascii="宋体" w:hAnsi="宋体" w:cs="宋体"/>
                <w:sz w:val="25"/>
                <w:szCs w:val="25"/>
              </w:rPr>
              <w:t>10</w:t>
            </w:r>
            <w:r>
              <w:rPr>
                <w:rFonts w:hint="eastAsia" w:ascii="宋体" w:hAnsi="宋体" w:cs="宋体"/>
                <w:sz w:val="25"/>
                <w:szCs w:val="25"/>
              </w:rPr>
              <w:t>分，既本项得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售后服</w:t>
            </w:r>
          </w:p>
          <w:p>
            <w:pPr>
              <w:ind w:left="0" w:firstLine="0" w:firstLineChars="0"/>
              <w:jc w:val="center"/>
              <w:rPr>
                <w:rFonts w:ascii="宋体" w:cs="宋体"/>
                <w:sz w:val="25"/>
                <w:szCs w:val="25"/>
              </w:rPr>
            </w:pPr>
            <w:r>
              <w:rPr>
                <w:rFonts w:hint="eastAsia" w:ascii="宋体" w:hAnsi="宋体" w:cs="宋体"/>
                <w:sz w:val="25"/>
                <w:szCs w:val="25"/>
              </w:rPr>
              <w:t>务措施</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ascii="宋体" w:cs="宋体"/>
                <w:sz w:val="25"/>
                <w:szCs w:val="25"/>
              </w:rPr>
            </w:pPr>
            <w:r>
              <w:rPr>
                <w:rFonts w:ascii="宋体" w:hAnsi="宋体" w:cs="宋体"/>
                <w:sz w:val="25"/>
                <w:szCs w:val="25"/>
              </w:rPr>
              <w:t>1</w:t>
            </w:r>
            <w:r>
              <w:rPr>
                <w:rFonts w:hint="eastAsia" w:ascii="宋体" w:hAnsi="宋体" w:cs="宋体"/>
                <w:sz w:val="25"/>
                <w:szCs w:val="25"/>
              </w:rPr>
              <w:t>、售后响应：本项共</w:t>
            </w:r>
            <w:r>
              <w:rPr>
                <w:rFonts w:ascii="宋体" w:hAnsi="宋体" w:cs="宋体"/>
                <w:sz w:val="25"/>
                <w:szCs w:val="25"/>
              </w:rPr>
              <w:t>6</w:t>
            </w:r>
            <w:r>
              <w:rPr>
                <w:rFonts w:hint="eastAsia" w:ascii="宋体" w:hAnsi="宋体" w:cs="宋体"/>
                <w:sz w:val="25"/>
                <w:szCs w:val="25"/>
              </w:rPr>
              <w:t>分，承诺维修人员</w:t>
            </w:r>
            <w:r>
              <w:rPr>
                <w:rFonts w:ascii="宋体" w:hAnsi="宋体" w:cs="宋体"/>
                <w:sz w:val="25"/>
                <w:szCs w:val="25"/>
              </w:rPr>
              <w:t>2</w:t>
            </w:r>
            <w:r>
              <w:rPr>
                <w:rFonts w:hint="eastAsia" w:ascii="宋体" w:hAnsi="宋体" w:cs="宋体"/>
                <w:sz w:val="25"/>
                <w:szCs w:val="25"/>
              </w:rPr>
              <w:t>小时响应得</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小时修复得</w:t>
            </w:r>
            <w:r>
              <w:rPr>
                <w:rFonts w:ascii="宋体" w:hAnsi="宋体" w:cs="宋体"/>
                <w:sz w:val="25"/>
                <w:szCs w:val="25"/>
              </w:rPr>
              <w:t>3</w:t>
            </w:r>
            <w:r>
              <w:rPr>
                <w:rFonts w:hint="eastAsia" w:ascii="宋体" w:hAnsi="宋体" w:cs="宋体"/>
                <w:sz w:val="25"/>
                <w:szCs w:val="25"/>
              </w:rPr>
              <w:t>分。</w:t>
            </w:r>
          </w:p>
          <w:p>
            <w:pPr>
              <w:ind w:left="0" w:firstLine="0" w:firstLineChars="0"/>
              <w:rPr>
                <w:rFonts w:ascii="宋体" w:cs="宋体"/>
                <w:sz w:val="25"/>
                <w:szCs w:val="25"/>
              </w:rPr>
            </w:pPr>
            <w:r>
              <w:rPr>
                <w:rFonts w:ascii="宋体" w:hAnsi="宋体" w:cs="宋体"/>
                <w:sz w:val="25"/>
                <w:szCs w:val="25"/>
              </w:rPr>
              <w:t>2</w:t>
            </w:r>
            <w:r>
              <w:rPr>
                <w:rFonts w:hint="eastAsia" w:ascii="宋体" w:hAnsi="宋体" w:cs="宋体"/>
                <w:sz w:val="25"/>
                <w:szCs w:val="25"/>
              </w:rPr>
              <w:t>、整机质保期：本项最高</w:t>
            </w:r>
            <w:r>
              <w:rPr>
                <w:rFonts w:ascii="宋体" w:hAnsi="宋体" w:cs="宋体"/>
                <w:sz w:val="25"/>
                <w:szCs w:val="25"/>
              </w:rPr>
              <w:t>9</w:t>
            </w:r>
            <w:r>
              <w:rPr>
                <w:rFonts w:hint="eastAsia" w:ascii="宋体" w:hAnsi="宋体" w:cs="宋体"/>
                <w:sz w:val="25"/>
                <w:szCs w:val="25"/>
              </w:rPr>
              <w:t>分。承诺质保期≤</w:t>
            </w:r>
            <w:r>
              <w:rPr>
                <w:rFonts w:ascii="宋体" w:hAnsi="宋体" w:cs="宋体"/>
                <w:sz w:val="25"/>
                <w:szCs w:val="25"/>
              </w:rPr>
              <w:t>1</w:t>
            </w:r>
            <w:r>
              <w:rPr>
                <w:rFonts w:hint="eastAsia" w:ascii="宋体" w:hAnsi="宋体" w:cs="宋体"/>
                <w:sz w:val="25"/>
                <w:szCs w:val="25"/>
              </w:rPr>
              <w:t>年得</w:t>
            </w:r>
            <w:r>
              <w:rPr>
                <w:rFonts w:ascii="宋体" w:hAnsi="宋体" w:cs="宋体"/>
                <w:sz w:val="25"/>
                <w:szCs w:val="25"/>
              </w:rPr>
              <w:t>1</w:t>
            </w:r>
            <w:r>
              <w:rPr>
                <w:rFonts w:hint="eastAsia" w:ascii="宋体" w:hAnsi="宋体" w:cs="宋体"/>
                <w:sz w:val="25"/>
                <w:szCs w:val="25"/>
              </w:rPr>
              <w:t>分，质保期≥</w:t>
            </w:r>
            <w:r>
              <w:rPr>
                <w:rFonts w:ascii="宋体" w:hAnsi="宋体" w:cs="宋体"/>
                <w:sz w:val="25"/>
                <w:szCs w:val="25"/>
              </w:rPr>
              <w:t>2</w:t>
            </w:r>
            <w:r>
              <w:rPr>
                <w:rFonts w:hint="eastAsia" w:ascii="宋体" w:hAnsi="宋体" w:cs="宋体"/>
                <w:sz w:val="25"/>
                <w:szCs w:val="25"/>
              </w:rPr>
              <w:t>年得</w:t>
            </w:r>
            <w:r>
              <w:rPr>
                <w:rFonts w:ascii="宋体" w:hAnsi="宋体" w:cs="宋体"/>
                <w:sz w:val="25"/>
                <w:szCs w:val="25"/>
              </w:rPr>
              <w:t>5</w:t>
            </w:r>
            <w:r>
              <w:rPr>
                <w:rFonts w:hint="eastAsia" w:ascii="宋体" w:hAnsi="宋体" w:cs="宋体"/>
                <w:sz w:val="25"/>
                <w:szCs w:val="25"/>
              </w:rPr>
              <w:t>分，质保期≥</w:t>
            </w:r>
            <w:r>
              <w:rPr>
                <w:rFonts w:ascii="宋体" w:hAnsi="宋体" w:cs="宋体"/>
                <w:sz w:val="25"/>
                <w:szCs w:val="25"/>
              </w:rPr>
              <w:t>3</w:t>
            </w:r>
            <w:r>
              <w:rPr>
                <w:rFonts w:hint="eastAsia" w:ascii="宋体" w:hAnsi="宋体" w:cs="宋体"/>
                <w:sz w:val="25"/>
                <w:szCs w:val="25"/>
              </w:rPr>
              <w:t>年得</w:t>
            </w:r>
            <w:r>
              <w:rPr>
                <w:rFonts w:ascii="宋体" w:hAnsi="宋体" w:cs="宋体"/>
                <w:sz w:val="25"/>
                <w:szCs w:val="25"/>
              </w:rPr>
              <w:t>9</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7</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培训</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承诺本领域专家到场培训得</w:t>
            </w:r>
            <w:r>
              <w:rPr>
                <w:rFonts w:ascii="宋体" w:hAnsi="宋体" w:cs="宋体"/>
                <w:sz w:val="25"/>
                <w:szCs w:val="25"/>
              </w:rPr>
              <w:t>6</w:t>
            </w:r>
            <w:r>
              <w:rPr>
                <w:rFonts w:hint="eastAsia" w:ascii="宋体" w:hAnsi="宋体" w:cs="宋体"/>
                <w:sz w:val="25"/>
                <w:szCs w:val="25"/>
              </w:rPr>
              <w:t>分，厂家培训得</w:t>
            </w:r>
            <w:r>
              <w:rPr>
                <w:rFonts w:ascii="宋体" w:hAnsi="宋体" w:cs="宋体"/>
                <w:sz w:val="25"/>
                <w:szCs w:val="25"/>
              </w:rPr>
              <w:t>4</w:t>
            </w:r>
            <w:r>
              <w:rPr>
                <w:rFonts w:hint="eastAsia" w:ascii="宋体" w:hAnsi="宋体" w:cs="宋体"/>
                <w:sz w:val="25"/>
                <w:szCs w:val="25"/>
              </w:rPr>
              <w:t>分，无培训得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2" w:type="dxa"/>
            <w:vAlign w:val="center"/>
          </w:tcPr>
          <w:p>
            <w:pPr>
              <w:ind w:left="0" w:firstLine="0" w:firstLineChars="0"/>
              <w:jc w:val="center"/>
              <w:rPr>
                <w:rFonts w:ascii="宋体" w:cs="宋体"/>
                <w:sz w:val="25"/>
                <w:szCs w:val="25"/>
              </w:rPr>
            </w:pPr>
          </w:p>
        </w:tc>
        <w:tc>
          <w:tcPr>
            <w:tcW w:w="8998" w:type="dxa"/>
            <w:gridSpan w:val="3"/>
            <w:vAlign w:val="center"/>
          </w:tcPr>
          <w:p>
            <w:pPr>
              <w:ind w:left="0" w:firstLine="0" w:firstLineChars="0"/>
              <w:jc w:val="left"/>
              <w:rPr>
                <w:rFonts w:ascii="宋体" w:cs="宋体"/>
                <w:sz w:val="25"/>
                <w:szCs w:val="25"/>
              </w:rPr>
            </w:pPr>
            <w:r>
              <w:rPr>
                <w:rFonts w:hint="eastAsia" w:ascii="宋体" w:hAnsi="宋体" w:cs="宋体"/>
                <w:sz w:val="25"/>
                <w:szCs w:val="25"/>
              </w:rPr>
              <w:t>合计：</w:t>
            </w:r>
            <w:r>
              <w:rPr>
                <w:rFonts w:ascii="宋体" w:hAnsi="宋体" w:cs="宋体"/>
                <w:sz w:val="25"/>
                <w:szCs w:val="25"/>
              </w:rPr>
              <w:t>100</w:t>
            </w:r>
            <w:r>
              <w:rPr>
                <w:rFonts w:hint="eastAsia" w:ascii="宋体" w:hAnsi="宋体" w:cs="宋体"/>
                <w:sz w:val="25"/>
                <w:szCs w:val="25"/>
              </w:rPr>
              <w:t>分</w:t>
            </w:r>
          </w:p>
        </w:tc>
      </w:tr>
    </w:tbl>
    <w:p>
      <w:pPr>
        <w:ind w:left="-1459" w:leftChars="-695" w:firstLine="0" w:firstLineChars="0"/>
        <w:rPr>
          <w:rFonts w:ascii="宋体" w:cs="Times New Roman"/>
          <w:sz w:val="28"/>
          <w:szCs w:val="28"/>
        </w:rPr>
      </w:pP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rPr>
        <w:t>（三）、定标</w:t>
      </w:r>
    </w:p>
    <w:p>
      <w:pPr>
        <w:snapToGrid w:val="0"/>
        <w:spacing w:line="360" w:lineRule="auto"/>
        <w:ind w:left="17" w:hanging="16" w:hangingChars="6"/>
        <w:jc w:val="left"/>
        <w:rPr>
          <w:rFonts w:ascii="宋体" w:cs="Times New Roman"/>
          <w:sz w:val="28"/>
          <w:szCs w:val="28"/>
        </w:rPr>
      </w:pPr>
      <w:r>
        <w:rPr>
          <w:rFonts w:hint="eastAsia" w:ascii="宋体" w:hAnsi="宋体" w:cs="宋体"/>
          <w:sz w:val="28"/>
          <w:szCs w:val="28"/>
        </w:rPr>
        <w:t>1、最低报价并非中标的唯一条件，根据评标委员会综合评价得分由高到低排序取前</w:t>
      </w:r>
      <w:r>
        <w:rPr>
          <w:rFonts w:ascii="宋体" w:hAnsi="宋体" w:cs="宋体"/>
          <w:sz w:val="28"/>
          <w:szCs w:val="28"/>
        </w:rPr>
        <w:t>2</w:t>
      </w:r>
      <w:r>
        <w:rPr>
          <w:rFonts w:hint="eastAsia" w:ascii="宋体" w:hAnsi="宋体" w:cs="宋体"/>
          <w:sz w:val="28"/>
          <w:szCs w:val="28"/>
        </w:rPr>
        <w:t>名作为中标候选人。</w:t>
      </w:r>
    </w:p>
    <w:p>
      <w:pPr>
        <w:snapToGrid w:val="0"/>
        <w:spacing w:line="360" w:lineRule="auto"/>
        <w:ind w:left="0" w:firstLine="0" w:firstLineChars="0"/>
        <w:jc w:val="left"/>
        <w:rPr>
          <w:rFonts w:ascii="宋体" w:cs="Times New Roman"/>
          <w:sz w:val="28"/>
          <w:szCs w:val="28"/>
        </w:rPr>
      </w:pPr>
      <w:r>
        <w:rPr>
          <w:rFonts w:hint="eastAsia" w:ascii="宋体" w:hAnsi="宋体" w:cs="宋体"/>
          <w:sz w:val="28"/>
          <w:szCs w:val="28"/>
        </w:rPr>
        <w:t>2、招标人根据推荐的中标候选人，报请评委会确定中标单位，公示后发出中标通知书。</w:t>
      </w:r>
    </w:p>
    <w:p>
      <w:pPr>
        <w:ind w:left="-1457" w:leftChars="-694" w:firstLine="1458" w:firstLineChars="521"/>
        <w:rPr>
          <w:rFonts w:ascii="宋体" w:cs="Times New Roman"/>
          <w:sz w:val="28"/>
          <w:szCs w:val="28"/>
        </w:rPr>
      </w:pPr>
    </w:p>
    <w:p>
      <w:pPr>
        <w:ind w:left="-1459" w:leftChars="-695" w:firstLine="0" w:firstLineChars="0"/>
        <w:rPr>
          <w:rFonts w:ascii="宋体" w:cs="Times New Roman"/>
          <w:sz w:val="28"/>
          <w:szCs w:val="28"/>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E6B58"/>
    <w:multiLevelType w:val="singleLevel"/>
    <w:tmpl w:val="6BEE6B5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AE73D2"/>
    <w:rsid w:val="00BA625B"/>
    <w:rsid w:val="00D71C42"/>
    <w:rsid w:val="00F3073B"/>
    <w:rsid w:val="00F83E1A"/>
    <w:rsid w:val="02433629"/>
    <w:rsid w:val="064651A2"/>
    <w:rsid w:val="071A655F"/>
    <w:rsid w:val="10613D84"/>
    <w:rsid w:val="12B06343"/>
    <w:rsid w:val="14B262D0"/>
    <w:rsid w:val="14FB3882"/>
    <w:rsid w:val="161507EA"/>
    <w:rsid w:val="1BDC4CFA"/>
    <w:rsid w:val="1DC614F6"/>
    <w:rsid w:val="236D58BF"/>
    <w:rsid w:val="24457C86"/>
    <w:rsid w:val="285B3B0E"/>
    <w:rsid w:val="2FE168D3"/>
    <w:rsid w:val="30D37FA1"/>
    <w:rsid w:val="31B66B75"/>
    <w:rsid w:val="32772DF8"/>
    <w:rsid w:val="335C555F"/>
    <w:rsid w:val="3701414E"/>
    <w:rsid w:val="37A65572"/>
    <w:rsid w:val="3A2B3B1C"/>
    <w:rsid w:val="3AC7357F"/>
    <w:rsid w:val="3F344F08"/>
    <w:rsid w:val="41691DFC"/>
    <w:rsid w:val="45F7251A"/>
    <w:rsid w:val="467D4A96"/>
    <w:rsid w:val="4C4F15D0"/>
    <w:rsid w:val="4C6D6A6A"/>
    <w:rsid w:val="4DF4308E"/>
    <w:rsid w:val="55291EDE"/>
    <w:rsid w:val="560E2D49"/>
    <w:rsid w:val="56F24102"/>
    <w:rsid w:val="58852FB4"/>
    <w:rsid w:val="5A2C4B94"/>
    <w:rsid w:val="5B4A7E47"/>
    <w:rsid w:val="5CFE0D01"/>
    <w:rsid w:val="5E2C37BC"/>
    <w:rsid w:val="60C438BE"/>
    <w:rsid w:val="665A26F6"/>
    <w:rsid w:val="665B21EF"/>
    <w:rsid w:val="66A62D46"/>
    <w:rsid w:val="68B60EDA"/>
    <w:rsid w:val="6B196A5F"/>
    <w:rsid w:val="732F0E7D"/>
    <w:rsid w:val="74AE2198"/>
    <w:rsid w:val="75A0508F"/>
    <w:rsid w:val="75B42990"/>
    <w:rsid w:val="77A80FC7"/>
    <w:rsid w:val="79430C6C"/>
    <w:rsid w:val="7BE51036"/>
    <w:rsid w:val="7D6D78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ocked="1"/>
    <w:lsdException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8"/>
    <w:qFormat/>
    <w:uiPriority w:val="99"/>
    <w:pPr>
      <w:jc w:val="center"/>
    </w:pPr>
    <w:rPr>
      <w:rFonts w:ascii="Times New Roman" w:hAnsi="Times New Roman" w:cs="Times New Roman"/>
      <w:sz w:val="28"/>
      <w:szCs w:val="28"/>
    </w:rPr>
  </w:style>
  <w:style w:type="paragraph" w:styleId="3">
    <w:name w:val="Normal (Web)"/>
    <w:basedOn w:val="1"/>
    <w:qFormat/>
    <w:uiPriority w:val="0"/>
    <w:pPr>
      <w:spacing w:beforeAutospacing="1" w:afterAutospacing="1"/>
      <w:ind w:left="0" w:firstLine="0" w:firstLineChars="0"/>
      <w:jc w:val="left"/>
    </w:pPr>
    <w:rPr>
      <w:rFonts w:cs="Times New Roman" w:asciiTheme="minorHAnsi" w:hAnsiTheme="minorHAnsi" w:eastAsiaTheme="minorEastAsia"/>
      <w:kern w:val="0"/>
      <w:sz w:val="24"/>
      <w:szCs w:val="24"/>
    </w:rPr>
  </w:style>
  <w:style w:type="table" w:styleId="5">
    <w:name w:val="Table Grid"/>
    <w:basedOn w:val="4"/>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Strong"/>
    <w:basedOn w:val="6"/>
    <w:qFormat/>
    <w:locked/>
    <w:uiPriority w:val="0"/>
    <w:rPr>
      <w:b/>
    </w:rPr>
  </w:style>
  <w:style w:type="character" w:customStyle="1" w:styleId="8">
    <w:name w:val="正文文本 2 Char"/>
    <w:basedOn w:val="6"/>
    <w:link w:val="2"/>
    <w:semiHidden/>
    <w:qFormat/>
    <w:uiPriority w:val="99"/>
    <w:rPr>
      <w:rFonts w:cs="Calibri"/>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1194</Words>
  <Characters>6806</Characters>
  <Lines>56</Lines>
  <Paragraphs>15</Paragraphs>
  <TotalTime>10</TotalTime>
  <ScaleCrop>false</ScaleCrop>
  <LinksUpToDate>false</LinksUpToDate>
  <CharactersWithSpaces>7985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喋血@♥【影风】</cp:lastModifiedBy>
  <cp:lastPrinted>2020-07-21T10:19:00Z</cp:lastPrinted>
  <dcterms:modified xsi:type="dcterms:W3CDTF">2020-09-15T03:20:35Z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