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left"/>
        <w:rPr>
          <w:b/>
          <w:kern w:val="0"/>
          <w:sz w:val="32"/>
          <w:szCs w:val="32"/>
        </w:rPr>
      </w:pPr>
      <w:r>
        <w:rPr>
          <w:rFonts w:hint="eastAsia"/>
          <w:b/>
          <w:kern w:val="0"/>
          <w:sz w:val="32"/>
          <w:szCs w:val="32"/>
        </w:rPr>
        <w:t>安徽相王医疗健康股份有限公司机房建设</w:t>
      </w:r>
      <w:r>
        <w:rPr>
          <w:rFonts w:hint="eastAsia"/>
          <w:b/>
          <w:kern w:val="0"/>
          <w:sz w:val="32"/>
          <w:szCs w:val="32"/>
          <w:lang w:eastAsia="zh-CN"/>
        </w:rPr>
        <w:t>招标</w:t>
      </w:r>
      <w:r>
        <w:rPr>
          <w:rFonts w:hint="eastAsia"/>
          <w:b/>
          <w:kern w:val="0"/>
          <w:sz w:val="32"/>
          <w:szCs w:val="32"/>
        </w:rPr>
        <w:t>文件</w:t>
      </w:r>
      <w:r>
        <w:rPr>
          <w:rFonts w:hint="eastAsia"/>
          <w:b/>
          <w:kern w:val="0"/>
          <w:sz w:val="32"/>
          <w:szCs w:val="32"/>
          <w:lang w:eastAsia="zh-CN"/>
        </w:rPr>
        <w:t>（二次）</w:t>
      </w:r>
      <w:r>
        <w:rPr>
          <w:rFonts w:hint="eastAsia"/>
          <w:b/>
          <w:kern w:val="0"/>
          <w:sz w:val="32"/>
          <w:szCs w:val="32"/>
        </w:rPr>
        <w:t xml:space="preserve">  </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2"/>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3"/>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01"/>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center"/>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安徽相王医疗健康股份有限公司机房建设工程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总控制价</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工期要求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20个日历日(开工时间以合同约定日期为准)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详见工程量清单、图纸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具有独立法人资格，建筑三级及以上资质，且具有承担本次招标范围内设备拆迁安装的能力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line="400" w:lineRule="exac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20日历天（从投标截止之日算起）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投标人需缴纳投标保证金4000 元。缴纳投标保证金须以现金方式在开标前现场提交。中标单位的投标保证金在履约保证金足额缴纳后无息退还；未中标单位的投标保证金在定标后无息退还。</w:t>
            </w:r>
          </w:p>
          <w:p>
            <w:pPr>
              <w:adjustRightInd w:val="0"/>
              <w:snapToGrid w:val="0"/>
              <w:spacing w:line="400" w:lineRule="exact"/>
              <w:jc w:val="lef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8"/>
                <w:szCs w:val="28"/>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39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line="400" w:lineRule="exac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spacing w:line="400" w:lineRule="exact"/>
              <w:jc w:val="left"/>
              <w:rPr>
                <w:rFonts w:cs="宋体"/>
                <w:sz w:val="28"/>
                <w:szCs w:val="28"/>
              </w:rPr>
            </w:pPr>
            <w:r>
              <w:rPr>
                <w:rFonts w:hint="eastAsia" w:cs="宋体"/>
                <w:sz w:val="28"/>
                <w:szCs w:val="28"/>
              </w:rPr>
              <w:t>投标截止时间：2020年 11 月 14 日上午</w:t>
            </w:r>
            <w:r>
              <w:rPr>
                <w:rFonts w:hint="eastAsia" w:cs="宋体"/>
                <w:sz w:val="28"/>
                <w:szCs w:val="28"/>
                <w:lang w:val="en-US" w:eastAsia="zh-CN"/>
              </w:rPr>
              <w:t>8:30</w:t>
            </w:r>
            <w:r>
              <w:rPr>
                <w:rFonts w:hint="eastAsia" w:cs="宋体"/>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中标人须以现金缴纳2000元中标服务费（包含在投标报价中）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最低价</w:t>
            </w:r>
            <w:r>
              <w:rPr>
                <w:rFonts w:hint="eastAsia" w:cs="宋体"/>
                <w:sz w:val="28"/>
                <w:szCs w:val="28"/>
                <w:lang w:eastAsia="zh-CN"/>
              </w:rPr>
              <w:t>评</w:t>
            </w:r>
            <w:r>
              <w:rPr>
                <w:rFonts w:hint="eastAsia" w:cs="宋体"/>
                <w:sz w:val="28"/>
                <w:szCs w:val="28"/>
              </w:rPr>
              <w:t>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履约保证金</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cs="宋体"/>
                <w:sz w:val="28"/>
                <w:szCs w:val="28"/>
              </w:rPr>
              <w:t>中标单位应于接到中标通知书后的2日内向采购人指定账户打入成交金额10%的履约保证金，并在10个工作日内签订采购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FF"/>
                <w:sz w:val="24"/>
              </w:rPr>
            </w:pPr>
            <w:r>
              <w:rPr>
                <w:rFonts w:hint="eastAsia" w:cs="宋体"/>
                <w:sz w:val="28"/>
                <w:szCs w:val="28"/>
              </w:rPr>
              <w:t>任何要求澄清招标文件的投标人均应在11月</w:t>
            </w:r>
            <w:r>
              <w:rPr>
                <w:rFonts w:hint="eastAsia" w:cs="宋体"/>
                <w:sz w:val="28"/>
                <w:szCs w:val="28"/>
                <w:lang w:val="en-US" w:eastAsia="zh-CN"/>
              </w:rPr>
              <w:t>12</w:t>
            </w:r>
            <w:r>
              <w:rPr>
                <w:rFonts w:hint="eastAsia" w:cs="宋体"/>
                <w:sz w:val="28"/>
                <w:szCs w:val="28"/>
              </w:rPr>
              <w:t>日上午1</w:t>
            </w:r>
            <w:r>
              <w:rPr>
                <w:rFonts w:hint="eastAsia" w:cs="宋体"/>
                <w:sz w:val="28"/>
                <w:szCs w:val="28"/>
                <w:lang w:val="en-US" w:eastAsia="zh-CN"/>
              </w:rPr>
              <w:t>0</w:t>
            </w:r>
            <w:r>
              <w:rPr>
                <w:rFonts w:hint="eastAsia" w:cs="宋体"/>
                <w:sz w:val="28"/>
                <w:szCs w:val="28"/>
              </w:rPr>
              <w:t>:00 之前以不署名的电子邮件形式发送至安徽皖北康复医院办公室邮箱 271402092 @QQ.com，招标单位在11月1</w:t>
            </w:r>
            <w:r>
              <w:rPr>
                <w:rFonts w:hint="eastAsia" w:cs="宋体"/>
                <w:sz w:val="28"/>
                <w:szCs w:val="28"/>
                <w:lang w:val="en-US" w:eastAsia="zh-CN"/>
              </w:rPr>
              <w:t>2</w:t>
            </w:r>
            <w:r>
              <w:rPr>
                <w:rFonts w:hint="eastAsia" w:cs="宋体"/>
                <w:sz w:val="28"/>
                <w:szCs w:val="28"/>
              </w:rPr>
              <w:t>日下午5:00前在安徽皖北康复医院网站统一公告答疑。</w:t>
            </w:r>
          </w:p>
        </w:tc>
      </w:tr>
    </w:tbl>
    <w:p/>
    <w:p/>
    <w:p/>
    <w:p/>
    <w:p>
      <w:pPr>
        <w:pStyle w:val="2"/>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4"/>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pStyle w:val="5"/>
        <w:adjustRightInd w:val="0"/>
        <w:snapToGrid w:val="0"/>
        <w:spacing w:before="157" w:beforeLines="50" w:after="0" w:line="440" w:lineRule="exact"/>
        <w:rPr>
          <w:rFonts w:cs="宋体"/>
        </w:rPr>
      </w:pPr>
      <w:r>
        <w:rPr>
          <w:rFonts w:hint="eastAsia" w:cs="宋体"/>
        </w:rPr>
        <w:t>1、工程说明</w:t>
      </w:r>
    </w:p>
    <w:p>
      <w:pPr>
        <w:spacing w:before="63" w:beforeLines="20" w:line="440" w:lineRule="exact"/>
        <w:rPr>
          <w:rFonts w:cs="宋体"/>
          <w:b/>
          <w:bCs/>
          <w:sz w:val="28"/>
          <w:szCs w:val="28"/>
        </w:rPr>
      </w:pPr>
      <w:r>
        <w:rPr>
          <w:rFonts w:hint="eastAsia" w:cs="宋体"/>
          <w:b/>
          <w:bCs/>
          <w:sz w:val="28"/>
          <w:szCs w:val="28"/>
        </w:rPr>
        <w:t>1.1现场条件</w:t>
      </w:r>
    </w:p>
    <w:p>
      <w:pPr>
        <w:spacing w:line="360" w:lineRule="auto"/>
        <w:rPr>
          <w:sz w:val="30"/>
          <w:szCs w:val="30"/>
        </w:rPr>
      </w:pPr>
      <w:r>
        <w:rPr>
          <w:rFonts w:hint="eastAsia"/>
          <w:sz w:val="30"/>
          <w:szCs w:val="30"/>
        </w:rPr>
        <w:t>（1）新机房施工场地情况：新机房在三间办公室和一间会议室基础上进行改造。待施工场地的地面为水磨石地；两间房内墙壁上有空调3台；房间顶面有照明灯具。</w:t>
      </w:r>
    </w:p>
    <w:p>
      <w:pPr>
        <w:spacing w:line="360" w:lineRule="auto"/>
        <w:rPr>
          <w:sz w:val="30"/>
          <w:szCs w:val="30"/>
        </w:rPr>
      </w:pPr>
      <w:r>
        <w:rPr>
          <w:rFonts w:hint="eastAsia"/>
          <w:sz w:val="30"/>
          <w:szCs w:val="30"/>
        </w:rPr>
        <w:t>（2）旧机房现场情况：旧机房现有机柜三个、UPS一个、服务器12个、一个阵列、一个存储、核心交换机2个、光纤收发器1个、两个空调、七氟丙烷消防栓铁箱2个。</w:t>
      </w:r>
    </w:p>
    <w:p>
      <w:pPr>
        <w:spacing w:line="360" w:lineRule="auto"/>
        <w:rPr>
          <w:sz w:val="30"/>
          <w:szCs w:val="30"/>
        </w:rPr>
      </w:pPr>
      <w:r>
        <w:rPr>
          <w:rFonts w:hint="eastAsia"/>
          <w:sz w:val="30"/>
          <w:szCs w:val="30"/>
        </w:rPr>
        <w:t>（3）施工用水：招标人指定水源，其他由中标人自行解决；</w:t>
      </w:r>
    </w:p>
    <w:p>
      <w:pPr>
        <w:spacing w:line="360" w:lineRule="auto"/>
        <w:rPr>
          <w:sz w:val="30"/>
          <w:szCs w:val="30"/>
        </w:rPr>
      </w:pPr>
      <w:r>
        <w:rPr>
          <w:rFonts w:hint="eastAsia"/>
          <w:sz w:val="30"/>
          <w:szCs w:val="30"/>
        </w:rPr>
        <w:t>（4）场内外道路：道路交通条件已具备，施工过程中，不得损毁，如有损毁 照价赔偿；</w:t>
      </w:r>
    </w:p>
    <w:p>
      <w:pPr>
        <w:spacing w:line="360" w:lineRule="auto"/>
        <w:rPr>
          <w:sz w:val="30"/>
          <w:szCs w:val="30"/>
        </w:rPr>
      </w:pPr>
      <w:r>
        <w:rPr>
          <w:rFonts w:hint="eastAsia"/>
          <w:sz w:val="30"/>
          <w:szCs w:val="30"/>
        </w:rPr>
        <w:t>（5）临时施工场地等：施工过程中产生的垃圾应及时清理，不得污染院内环境；</w:t>
      </w:r>
    </w:p>
    <w:p>
      <w:pPr>
        <w:spacing w:line="360" w:lineRule="auto"/>
        <w:rPr>
          <w:sz w:val="30"/>
          <w:szCs w:val="30"/>
        </w:rPr>
      </w:pPr>
      <w:r>
        <w:rPr>
          <w:rFonts w:hint="eastAsia"/>
          <w:sz w:val="30"/>
          <w:szCs w:val="30"/>
        </w:rPr>
        <w:t>（6）注意施工安全，不妨碍正常生活、交通秩序。</w:t>
      </w:r>
    </w:p>
    <w:p>
      <w:pPr>
        <w:snapToGrid w:val="0"/>
        <w:spacing w:line="360" w:lineRule="auto"/>
        <w:jc w:val="left"/>
        <w:rPr>
          <w:rFonts w:cs="宋体"/>
          <w:b/>
          <w:bCs/>
          <w:sz w:val="28"/>
          <w:szCs w:val="28"/>
        </w:rPr>
      </w:pPr>
      <w:r>
        <w:rPr>
          <w:rFonts w:hint="eastAsia" w:cs="宋体"/>
          <w:b/>
          <w:bCs/>
          <w:sz w:val="28"/>
          <w:szCs w:val="28"/>
        </w:rPr>
        <w:t>1.2施工要求</w:t>
      </w:r>
    </w:p>
    <w:p>
      <w:pPr>
        <w:snapToGrid w:val="0"/>
        <w:spacing w:line="360" w:lineRule="auto"/>
        <w:jc w:val="left"/>
        <w:rPr>
          <w:rFonts w:cs="宋体"/>
          <w:sz w:val="28"/>
          <w:szCs w:val="28"/>
        </w:rPr>
      </w:pPr>
      <w:r>
        <w:rPr>
          <w:rFonts w:hint="eastAsia" w:cs="宋体"/>
          <w:sz w:val="28"/>
          <w:szCs w:val="28"/>
        </w:rPr>
        <w:t>机房所有的工程施工以及配套的电力设施要满足施工工艺要求及工程质量验收规范规定。</w:t>
      </w:r>
    </w:p>
    <w:p>
      <w:pPr>
        <w:snapToGrid w:val="0"/>
        <w:spacing w:line="360" w:lineRule="auto"/>
        <w:jc w:val="left"/>
        <w:rPr>
          <w:rFonts w:cs="宋体"/>
          <w:b/>
          <w:bCs/>
          <w:sz w:val="28"/>
          <w:szCs w:val="28"/>
        </w:rPr>
      </w:pPr>
      <w:r>
        <w:rPr>
          <w:rFonts w:hint="eastAsia" w:cs="宋体"/>
          <w:b/>
          <w:bCs/>
          <w:sz w:val="28"/>
          <w:szCs w:val="28"/>
        </w:rPr>
        <w:t>2、报价要求</w:t>
      </w:r>
    </w:p>
    <w:p>
      <w:pPr>
        <w:snapToGrid w:val="0"/>
        <w:spacing w:line="360" w:lineRule="auto"/>
        <w:jc w:val="left"/>
        <w:rPr>
          <w:rFonts w:cs="宋体"/>
          <w:sz w:val="28"/>
          <w:szCs w:val="28"/>
        </w:rPr>
      </w:pPr>
      <w:r>
        <w:rPr>
          <w:rFonts w:hint="eastAsia" w:cs="宋体"/>
          <w:sz w:val="28"/>
          <w:szCs w:val="28"/>
        </w:rPr>
        <w:t>2.1 报价采用总价包干方式，投标报价依据招标工程量清单和施工图纸编制。</w:t>
      </w:r>
    </w:p>
    <w:p>
      <w:pPr>
        <w:snapToGrid w:val="0"/>
        <w:spacing w:line="360" w:lineRule="auto"/>
        <w:jc w:val="left"/>
        <w:rPr>
          <w:rFonts w:cs="宋体"/>
          <w:sz w:val="28"/>
          <w:szCs w:val="28"/>
        </w:rPr>
      </w:pPr>
      <w:r>
        <w:rPr>
          <w:rFonts w:hint="eastAsia" w:cs="宋体"/>
          <w:sz w:val="28"/>
          <w:szCs w:val="28"/>
        </w:rPr>
        <w:t>2.2包干总价包括完成工程量清单中项目特征描述和图纸内容（工程量清单中未要求的设备除外），同时考虑到根据经验优化设计和施工方案涉及的工程费用</w:t>
      </w:r>
      <w:r>
        <w:rPr>
          <w:rFonts w:hint="eastAsia" w:cs="宋体"/>
          <w:sz w:val="28"/>
          <w:szCs w:val="28"/>
          <w:lang w:eastAsia="zh-CN"/>
        </w:rPr>
        <w:t>。</w:t>
      </w:r>
      <w:r>
        <w:rPr>
          <w:rFonts w:hint="eastAsia" w:cs="宋体"/>
          <w:sz w:val="28"/>
          <w:szCs w:val="28"/>
        </w:rPr>
        <w:t>价格组成包括本项目所有投入、利润和相关税费，并考虑施工安全等其他风险因素。</w:t>
      </w:r>
    </w:p>
    <w:p>
      <w:pPr>
        <w:snapToGrid w:val="0"/>
        <w:spacing w:line="360" w:lineRule="auto"/>
        <w:jc w:val="left"/>
        <w:rPr>
          <w:rFonts w:cs="宋体"/>
          <w:sz w:val="28"/>
          <w:szCs w:val="28"/>
        </w:rPr>
      </w:pPr>
      <w:r>
        <w:rPr>
          <w:rFonts w:hint="eastAsia" w:cs="宋体"/>
          <w:sz w:val="28"/>
          <w:szCs w:val="28"/>
        </w:rPr>
        <w:t>2.3 控制价中含设计费7500元，由中标方代付，属于不可竞争费用。</w:t>
      </w:r>
    </w:p>
    <w:p>
      <w:pPr>
        <w:snapToGrid w:val="0"/>
        <w:spacing w:line="360" w:lineRule="auto"/>
        <w:jc w:val="left"/>
        <w:rPr>
          <w:rFonts w:cs="宋体"/>
          <w:b/>
          <w:bCs/>
          <w:sz w:val="28"/>
          <w:szCs w:val="28"/>
        </w:rPr>
      </w:pPr>
      <w:r>
        <w:rPr>
          <w:rFonts w:hint="eastAsia" w:cs="宋体"/>
          <w:b/>
          <w:bCs/>
          <w:sz w:val="28"/>
          <w:szCs w:val="28"/>
        </w:rPr>
        <w:t>3、投标费用</w:t>
      </w:r>
    </w:p>
    <w:p>
      <w:pPr>
        <w:snapToGrid w:val="0"/>
        <w:spacing w:line="360" w:lineRule="auto"/>
        <w:jc w:val="left"/>
        <w:rPr>
          <w:rFonts w:cs="宋体"/>
          <w:sz w:val="28"/>
          <w:szCs w:val="28"/>
        </w:rPr>
      </w:pPr>
      <w:r>
        <w:rPr>
          <w:rFonts w:hint="eastAsia" w:cs="宋体"/>
          <w:sz w:val="28"/>
          <w:szCs w:val="28"/>
        </w:rPr>
        <w:t xml:space="preserve"> 投标人应承担其编制投标文件与递交投标文件等投标过程中所涉及的一切费用，不论投标结果如何，招标人将不予承担。</w:t>
      </w:r>
    </w:p>
    <w:p>
      <w:pPr>
        <w:snapToGrid w:val="0"/>
        <w:spacing w:line="360" w:lineRule="auto"/>
        <w:jc w:val="left"/>
        <w:rPr>
          <w:rFonts w:cs="宋体"/>
          <w:b/>
          <w:bCs/>
          <w:sz w:val="28"/>
          <w:szCs w:val="28"/>
        </w:rPr>
      </w:pPr>
      <w:r>
        <w:rPr>
          <w:rFonts w:hint="eastAsia" w:cs="宋体"/>
          <w:b/>
          <w:bCs/>
          <w:sz w:val="28"/>
          <w:szCs w:val="28"/>
        </w:rPr>
        <w:t>4、下列情况之一者为废标：</w:t>
      </w:r>
    </w:p>
    <w:p>
      <w:pPr>
        <w:snapToGrid w:val="0"/>
        <w:spacing w:line="360" w:lineRule="auto"/>
        <w:jc w:val="left"/>
        <w:rPr>
          <w:rFonts w:hint="eastAsia" w:cs="宋体"/>
          <w:sz w:val="28"/>
          <w:szCs w:val="28"/>
        </w:rPr>
      </w:pPr>
      <w:r>
        <w:rPr>
          <w:rFonts w:hint="eastAsia" w:cs="宋体"/>
          <w:sz w:val="28"/>
          <w:szCs w:val="28"/>
        </w:rPr>
        <w:t>4.1没有按照招标文件要求提交投标保证金的；</w:t>
      </w:r>
    </w:p>
    <w:p>
      <w:pPr>
        <w:snapToGrid w:val="0"/>
        <w:spacing w:line="360" w:lineRule="auto"/>
        <w:jc w:val="left"/>
        <w:rPr>
          <w:rFonts w:hint="eastAsia" w:cs="宋体"/>
          <w:sz w:val="28"/>
          <w:szCs w:val="28"/>
        </w:rPr>
      </w:pPr>
      <w:r>
        <w:rPr>
          <w:rFonts w:hint="eastAsia" w:cs="宋体"/>
          <w:sz w:val="28"/>
          <w:szCs w:val="28"/>
        </w:rPr>
        <w:t>4.2投标人不符合国家或者招标文件规定的资格条件的；</w:t>
      </w:r>
    </w:p>
    <w:p>
      <w:pPr>
        <w:snapToGrid w:val="0"/>
        <w:spacing w:line="360" w:lineRule="auto"/>
        <w:jc w:val="left"/>
        <w:rPr>
          <w:rFonts w:hint="eastAsia" w:cs="宋体"/>
          <w:sz w:val="28"/>
          <w:szCs w:val="28"/>
        </w:rPr>
      </w:pPr>
      <w:r>
        <w:rPr>
          <w:rFonts w:hint="eastAsia" w:cs="宋体"/>
          <w:sz w:val="28"/>
          <w:szCs w:val="28"/>
        </w:rPr>
        <w:t>4.3投标人的投标报价多于一个，且未指定以哪个为准；</w:t>
      </w:r>
    </w:p>
    <w:p>
      <w:pPr>
        <w:snapToGrid w:val="0"/>
        <w:spacing w:line="360" w:lineRule="auto"/>
        <w:jc w:val="left"/>
        <w:rPr>
          <w:rFonts w:hint="eastAsia" w:cs="宋体"/>
          <w:sz w:val="28"/>
          <w:szCs w:val="28"/>
        </w:rPr>
      </w:pPr>
      <w:r>
        <w:rPr>
          <w:rFonts w:hint="eastAsia" w:cs="宋体"/>
          <w:sz w:val="28"/>
          <w:szCs w:val="28"/>
        </w:rPr>
        <w:t>4.4投标文件未盖公章及法定代表人或委托代理人印章（或签名）；</w:t>
      </w:r>
    </w:p>
    <w:p>
      <w:pPr>
        <w:snapToGrid w:val="0"/>
        <w:spacing w:line="360" w:lineRule="auto"/>
        <w:jc w:val="left"/>
        <w:rPr>
          <w:rFonts w:hint="eastAsia" w:cs="宋体"/>
          <w:sz w:val="28"/>
          <w:szCs w:val="28"/>
        </w:rPr>
      </w:pPr>
      <w:r>
        <w:rPr>
          <w:rFonts w:hint="eastAsia" w:cs="宋体"/>
          <w:sz w:val="28"/>
          <w:szCs w:val="28"/>
        </w:rPr>
        <w:t>4.5投标文件未按招标文件规定的格式和要求编制；</w:t>
      </w:r>
    </w:p>
    <w:p>
      <w:pPr>
        <w:snapToGrid w:val="0"/>
        <w:spacing w:line="360" w:lineRule="auto"/>
        <w:jc w:val="left"/>
        <w:rPr>
          <w:rFonts w:hint="eastAsia" w:cs="宋体"/>
          <w:sz w:val="28"/>
          <w:szCs w:val="28"/>
        </w:rPr>
      </w:pPr>
      <w:r>
        <w:rPr>
          <w:rFonts w:hint="eastAsia" w:cs="宋体"/>
          <w:sz w:val="28"/>
          <w:szCs w:val="28"/>
        </w:rPr>
        <w:t>4.6没有对招标文件提出的要求和条件作出实质性响应的；</w:t>
      </w:r>
    </w:p>
    <w:p>
      <w:pPr>
        <w:snapToGrid w:val="0"/>
        <w:spacing w:line="360" w:lineRule="auto"/>
        <w:jc w:val="left"/>
        <w:rPr>
          <w:rFonts w:hint="eastAsia" w:cs="宋体"/>
          <w:sz w:val="28"/>
          <w:szCs w:val="28"/>
        </w:rPr>
      </w:pPr>
      <w:r>
        <w:rPr>
          <w:rFonts w:hint="eastAsia" w:cs="宋体"/>
          <w:sz w:val="28"/>
          <w:szCs w:val="28"/>
        </w:rPr>
        <w:t>4.7串通投标、以行贿手段谋取中标、以他人名义或者其他弄虚作假方式投标的；</w:t>
      </w:r>
    </w:p>
    <w:p>
      <w:pPr>
        <w:snapToGrid w:val="0"/>
        <w:spacing w:line="360" w:lineRule="auto"/>
        <w:jc w:val="left"/>
        <w:rPr>
          <w:rFonts w:hint="eastAsia" w:cs="宋体"/>
          <w:sz w:val="28"/>
          <w:szCs w:val="28"/>
        </w:rPr>
      </w:pPr>
      <w:r>
        <w:rPr>
          <w:rFonts w:hint="eastAsia" w:cs="宋体"/>
          <w:sz w:val="28"/>
          <w:szCs w:val="28"/>
        </w:rPr>
        <w:t>4.8评委会一致确认应属于废标的其它严重情况。</w:t>
      </w:r>
    </w:p>
    <w:p>
      <w:pPr>
        <w:autoSpaceDE w:val="0"/>
        <w:autoSpaceDN w:val="0"/>
        <w:adjustRightInd w:val="0"/>
        <w:snapToGrid w:val="0"/>
        <w:spacing w:line="360" w:lineRule="auto"/>
        <w:jc w:val="left"/>
        <w:rPr>
          <w:rFonts w:cs="宋体"/>
          <w:b/>
          <w:bCs/>
          <w:sz w:val="28"/>
          <w:szCs w:val="28"/>
        </w:rPr>
      </w:pPr>
      <w:r>
        <w:rPr>
          <w:rFonts w:hint="eastAsia" w:cs="宋体"/>
          <w:b/>
          <w:bCs/>
          <w:sz w:val="28"/>
          <w:szCs w:val="28"/>
        </w:rPr>
        <w:t>5、</w:t>
      </w:r>
      <w:bookmarkStart w:id="2" w:name="_GoBack"/>
      <w:r>
        <w:rPr>
          <w:rFonts w:hint="eastAsia" w:cs="宋体"/>
          <w:b/>
          <w:bCs/>
          <w:sz w:val="28"/>
          <w:szCs w:val="28"/>
          <w:lang w:eastAsia="zh-CN"/>
        </w:rPr>
        <w:t>特别</w:t>
      </w:r>
      <w:bookmarkEnd w:id="2"/>
      <w:r>
        <w:rPr>
          <w:rFonts w:hint="eastAsia" w:cs="宋体"/>
          <w:b/>
          <w:bCs/>
          <w:sz w:val="28"/>
          <w:szCs w:val="28"/>
        </w:rPr>
        <w:t>说明：</w:t>
      </w:r>
    </w:p>
    <w:p>
      <w:pPr>
        <w:snapToGrid w:val="0"/>
        <w:spacing w:line="360" w:lineRule="auto"/>
        <w:jc w:val="left"/>
        <w:rPr>
          <w:rFonts w:hint="eastAsia" w:cs="宋体"/>
          <w:sz w:val="28"/>
          <w:szCs w:val="28"/>
        </w:rPr>
      </w:pPr>
      <w:r>
        <w:rPr>
          <w:rFonts w:hint="eastAsia" w:cs="宋体"/>
          <w:sz w:val="28"/>
          <w:szCs w:val="28"/>
        </w:rPr>
        <w:t>5.1设计单位</w:t>
      </w:r>
      <w:r>
        <w:rPr>
          <w:rFonts w:hint="eastAsia" w:cs="宋体"/>
          <w:sz w:val="28"/>
          <w:szCs w:val="28"/>
          <w:lang w:eastAsia="zh-CN"/>
        </w:rPr>
        <w:t>有义务</w:t>
      </w:r>
      <w:r>
        <w:rPr>
          <w:rFonts w:hint="eastAsia" w:cs="宋体"/>
          <w:sz w:val="28"/>
          <w:szCs w:val="28"/>
        </w:rPr>
        <w:t>配合中标人完成施工方案的优化和竣工图的绘制。</w:t>
      </w:r>
    </w:p>
    <w:p>
      <w:pPr>
        <w:snapToGrid w:val="0"/>
        <w:spacing w:line="360" w:lineRule="auto"/>
        <w:jc w:val="left"/>
        <w:rPr>
          <w:rFonts w:hint="eastAsia" w:cs="宋体"/>
          <w:sz w:val="28"/>
          <w:szCs w:val="28"/>
        </w:rPr>
      </w:pPr>
      <w:r>
        <w:rPr>
          <w:rFonts w:hint="eastAsia" w:cs="宋体"/>
          <w:sz w:val="28"/>
          <w:szCs w:val="28"/>
        </w:rPr>
        <w:t>5.2优化方案以优于原设计方案品质和经招标人确认为原则。</w:t>
      </w:r>
    </w:p>
    <w:p>
      <w:pPr>
        <w:snapToGrid w:val="0"/>
        <w:spacing w:line="360" w:lineRule="auto"/>
        <w:jc w:val="left"/>
        <w:rPr>
          <w:rFonts w:cs="宋体"/>
          <w:b/>
          <w:bCs/>
          <w:sz w:val="28"/>
          <w:szCs w:val="28"/>
        </w:rPr>
      </w:pPr>
    </w:p>
    <w:p>
      <w:pPr>
        <w:pStyle w:val="4"/>
        <w:adjustRightInd w:val="0"/>
        <w:snapToGrid w:val="0"/>
        <w:spacing w:before="315" w:beforeLines="100" w:after="315" w:afterLines="100" w:line="440" w:lineRule="exact"/>
        <w:ind w:firstLine="562" w:firstLineChars="200"/>
        <w:jc w:val="center"/>
        <w:rPr>
          <w:rFonts w:ascii="宋体" w:hAnsi="宋体" w:eastAsia="宋体" w:cs="宋体"/>
          <w:b w:val="0"/>
        </w:rPr>
      </w:pPr>
      <w:r>
        <w:rPr>
          <w:rFonts w:hint="eastAsia" w:ascii="宋体" w:hAnsi="宋体" w:eastAsia="宋体" w:cs="宋体"/>
        </w:rPr>
        <w:t>（二）投标文件的编制</w:t>
      </w:r>
    </w:p>
    <w:p>
      <w:pPr>
        <w:pStyle w:val="5"/>
        <w:adjustRightInd w:val="0"/>
        <w:snapToGrid w:val="0"/>
        <w:spacing w:before="0" w:after="0" w:line="440" w:lineRule="exact"/>
        <w:jc w:val="left"/>
        <w:rPr>
          <w:rFonts w:ascii="宋体" w:hAnsi="宋体" w:cs="宋体"/>
        </w:rPr>
      </w:pPr>
      <w:r>
        <w:rPr>
          <w:rFonts w:hint="eastAsia" w:ascii="宋体" w:hAnsi="宋体" w:cs="宋体"/>
        </w:rPr>
        <w:t>5、投标文件的组成</w:t>
      </w:r>
    </w:p>
    <w:p>
      <w:pPr>
        <w:snapToGrid w:val="0"/>
        <w:spacing w:line="360" w:lineRule="auto"/>
        <w:jc w:val="left"/>
        <w:rPr>
          <w:rFonts w:cs="宋体"/>
          <w:sz w:val="28"/>
          <w:szCs w:val="28"/>
        </w:rPr>
      </w:pPr>
      <w:r>
        <w:rPr>
          <w:rFonts w:hint="eastAsia" w:cs="宋体"/>
          <w:sz w:val="28"/>
          <w:szCs w:val="28"/>
        </w:rPr>
        <w:t>5.1投标函（见附件1）</w:t>
      </w:r>
    </w:p>
    <w:p>
      <w:pPr>
        <w:snapToGrid w:val="0"/>
        <w:spacing w:line="360" w:lineRule="auto"/>
        <w:jc w:val="left"/>
        <w:rPr>
          <w:rFonts w:cs="宋体"/>
          <w:sz w:val="28"/>
          <w:szCs w:val="28"/>
        </w:rPr>
      </w:pPr>
      <w:r>
        <w:rPr>
          <w:rFonts w:hint="eastAsia" w:cs="宋体"/>
          <w:sz w:val="28"/>
          <w:szCs w:val="28"/>
        </w:rPr>
        <w:t>5.2法定代表人身份证明书（见附件2）</w:t>
      </w:r>
    </w:p>
    <w:p>
      <w:pPr>
        <w:snapToGrid w:val="0"/>
        <w:spacing w:line="360" w:lineRule="auto"/>
        <w:jc w:val="left"/>
        <w:rPr>
          <w:rFonts w:cs="宋体"/>
          <w:sz w:val="28"/>
          <w:szCs w:val="28"/>
        </w:rPr>
      </w:pPr>
      <w:r>
        <w:rPr>
          <w:rFonts w:hint="eastAsia" w:cs="宋体"/>
          <w:sz w:val="28"/>
          <w:szCs w:val="28"/>
        </w:rPr>
        <w:t>5.3法人授权委托书（见附件3）</w:t>
      </w:r>
    </w:p>
    <w:p>
      <w:pPr>
        <w:snapToGrid w:val="0"/>
        <w:spacing w:line="360" w:lineRule="auto"/>
        <w:jc w:val="left"/>
        <w:rPr>
          <w:rFonts w:cs="宋体"/>
          <w:sz w:val="28"/>
          <w:szCs w:val="28"/>
        </w:rPr>
      </w:pPr>
      <w:r>
        <w:rPr>
          <w:rFonts w:hint="eastAsia" w:cs="宋体"/>
          <w:sz w:val="28"/>
          <w:szCs w:val="28"/>
        </w:rPr>
        <w:t>5.4投标承诺书（见附件4）</w:t>
      </w:r>
    </w:p>
    <w:p>
      <w:pPr>
        <w:snapToGrid w:val="0"/>
        <w:spacing w:line="360" w:lineRule="auto"/>
        <w:jc w:val="left"/>
        <w:rPr>
          <w:rFonts w:cs="宋体"/>
          <w:sz w:val="28"/>
          <w:szCs w:val="28"/>
        </w:rPr>
      </w:pPr>
      <w:r>
        <w:rPr>
          <w:rFonts w:hint="eastAsia" w:cs="宋体"/>
          <w:sz w:val="28"/>
          <w:szCs w:val="28"/>
        </w:rPr>
        <w:t>5.5建设项目投标报价汇总表（见附件5）</w:t>
      </w:r>
    </w:p>
    <w:p>
      <w:pPr>
        <w:snapToGrid w:val="0"/>
        <w:spacing w:line="360" w:lineRule="auto"/>
        <w:jc w:val="left"/>
        <w:rPr>
          <w:rFonts w:cs="宋体"/>
          <w:sz w:val="28"/>
          <w:szCs w:val="28"/>
        </w:rPr>
      </w:pPr>
      <w:r>
        <w:rPr>
          <w:rFonts w:hint="eastAsia" w:cs="宋体"/>
          <w:sz w:val="28"/>
          <w:szCs w:val="28"/>
        </w:rPr>
        <w:t>5.6分项报价表（见附件6）</w:t>
      </w:r>
    </w:p>
    <w:p>
      <w:pPr>
        <w:snapToGrid w:val="0"/>
        <w:spacing w:line="360" w:lineRule="auto"/>
        <w:jc w:val="left"/>
        <w:rPr>
          <w:rFonts w:cs="宋体"/>
          <w:sz w:val="28"/>
          <w:szCs w:val="28"/>
        </w:rPr>
      </w:pPr>
      <w:r>
        <w:rPr>
          <w:rFonts w:hint="eastAsia" w:cs="宋体"/>
          <w:sz w:val="28"/>
          <w:szCs w:val="28"/>
        </w:rPr>
        <w:t>5.7营业执照复印件加盖公章（原件携带备查）及投标方认为与本次招标有关的证明等</w:t>
      </w:r>
    </w:p>
    <w:p>
      <w:pPr>
        <w:snapToGrid w:val="0"/>
        <w:spacing w:line="360" w:lineRule="auto"/>
        <w:jc w:val="left"/>
        <w:rPr>
          <w:rFonts w:cs="宋体"/>
          <w:sz w:val="28"/>
          <w:szCs w:val="28"/>
        </w:rPr>
      </w:pPr>
      <w:r>
        <w:rPr>
          <w:rFonts w:hint="eastAsia" w:cs="宋体"/>
          <w:sz w:val="28"/>
          <w:szCs w:val="28"/>
        </w:rPr>
        <w:t>5.8安装施工方案</w:t>
      </w:r>
    </w:p>
    <w:p>
      <w:pPr>
        <w:snapToGrid w:val="0"/>
        <w:spacing w:line="360" w:lineRule="auto"/>
        <w:jc w:val="left"/>
        <w:rPr>
          <w:rFonts w:cs="宋体"/>
          <w:sz w:val="28"/>
          <w:szCs w:val="28"/>
        </w:rPr>
      </w:pPr>
      <w:r>
        <w:rPr>
          <w:rFonts w:hint="eastAsia" w:cs="宋体"/>
          <w:sz w:val="28"/>
          <w:szCs w:val="28"/>
        </w:rPr>
        <w:t>5.9质量保证措施</w:t>
      </w:r>
    </w:p>
    <w:p>
      <w:pPr>
        <w:snapToGrid w:val="0"/>
        <w:spacing w:line="360" w:lineRule="auto"/>
        <w:jc w:val="left"/>
        <w:rPr>
          <w:rFonts w:cs="宋体"/>
          <w:sz w:val="28"/>
          <w:szCs w:val="28"/>
        </w:rPr>
      </w:pPr>
      <w:r>
        <w:rPr>
          <w:rFonts w:hint="eastAsia" w:cs="宋体"/>
          <w:sz w:val="28"/>
          <w:szCs w:val="28"/>
        </w:rPr>
        <w:t>5.10工期安排计划</w:t>
      </w:r>
    </w:p>
    <w:p>
      <w:pPr>
        <w:snapToGrid w:val="0"/>
        <w:spacing w:line="360" w:lineRule="auto"/>
        <w:jc w:val="left"/>
        <w:rPr>
          <w:rFonts w:cs="宋体"/>
          <w:sz w:val="28"/>
          <w:szCs w:val="28"/>
        </w:rPr>
      </w:pPr>
      <w:r>
        <w:rPr>
          <w:rFonts w:hint="eastAsia" w:cs="宋体"/>
          <w:sz w:val="28"/>
          <w:szCs w:val="28"/>
        </w:rPr>
        <w:t>5.11投标人认为需要表述的与本次招标有关的其它内容。</w:t>
      </w:r>
    </w:p>
    <w:p>
      <w:pPr>
        <w:pStyle w:val="5"/>
        <w:adjustRightInd w:val="0"/>
        <w:snapToGrid w:val="0"/>
        <w:spacing w:before="0" w:after="0" w:line="440" w:lineRule="exact"/>
        <w:rPr>
          <w:rFonts w:ascii="宋体" w:hAnsi="宋体" w:cs="宋体"/>
        </w:rPr>
      </w:pPr>
      <w:r>
        <w:rPr>
          <w:rFonts w:hint="eastAsia" w:ascii="宋体" w:hAnsi="宋体" w:cs="宋体"/>
        </w:rPr>
        <w:t xml:space="preserve">6、投标文件格式    </w:t>
      </w:r>
    </w:p>
    <w:p>
      <w:pPr>
        <w:snapToGrid w:val="0"/>
        <w:spacing w:line="360" w:lineRule="auto"/>
        <w:jc w:val="left"/>
        <w:rPr>
          <w:rFonts w:cs="宋体"/>
          <w:sz w:val="28"/>
          <w:szCs w:val="28"/>
        </w:rPr>
      </w:pPr>
      <w:r>
        <w:rPr>
          <w:rFonts w:hint="eastAsia" w:cs="宋体"/>
          <w:sz w:val="28"/>
          <w:szCs w:val="28"/>
        </w:rPr>
        <w:t>6.1投标人须把投标文件装订成册，一式五份。投标文件须盖投标人公章，并有法定代表人或委托代理人的签名。</w:t>
      </w:r>
    </w:p>
    <w:p>
      <w:pPr>
        <w:snapToGrid w:val="0"/>
        <w:spacing w:line="360" w:lineRule="auto"/>
        <w:jc w:val="left"/>
        <w:rPr>
          <w:rFonts w:cs="宋体"/>
          <w:sz w:val="28"/>
          <w:szCs w:val="28"/>
        </w:rPr>
      </w:pPr>
      <w:r>
        <w:rPr>
          <w:rFonts w:hint="eastAsia" w:cs="宋体"/>
          <w:sz w:val="28"/>
          <w:szCs w:val="28"/>
        </w:rPr>
        <w:t>6.2五份投标文件装在一个文件袋内，文件袋要密封，封面注明招标项目和招标单位、投标人名称，并注明“开标时启封”字样。投标文件不按规定密封视为无效。加盖骑缝公章。</w:t>
      </w:r>
    </w:p>
    <w:p>
      <w:pPr>
        <w:pStyle w:val="4"/>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（三）开标</w:t>
      </w:r>
    </w:p>
    <w:p>
      <w:pPr>
        <w:pStyle w:val="5"/>
        <w:adjustRightInd w:val="0"/>
        <w:snapToGrid w:val="0"/>
        <w:spacing w:before="0" w:after="0" w:line="440" w:lineRule="exact"/>
        <w:rPr>
          <w:rFonts w:ascii="宋体" w:hAnsi="宋体" w:cs="宋体"/>
        </w:rPr>
      </w:pPr>
      <w:r>
        <w:rPr>
          <w:rFonts w:hint="eastAsia" w:ascii="宋体" w:hAnsi="宋体" w:cs="宋体"/>
        </w:rPr>
        <w:t>7、开标</w:t>
      </w:r>
    </w:p>
    <w:p>
      <w:pPr>
        <w:snapToGrid w:val="0"/>
        <w:spacing w:line="360" w:lineRule="auto"/>
        <w:jc w:val="left"/>
        <w:rPr>
          <w:rFonts w:cs="宋体"/>
          <w:sz w:val="28"/>
          <w:szCs w:val="28"/>
        </w:rPr>
      </w:pPr>
      <w:r>
        <w:rPr>
          <w:rFonts w:hint="eastAsia" w:cs="宋体"/>
          <w:sz w:val="28"/>
          <w:szCs w:val="28"/>
        </w:rPr>
        <w:t>7.1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cs="宋体"/>
          <w:sz w:val="28"/>
          <w:szCs w:val="28"/>
        </w:rPr>
      </w:pPr>
      <w:r>
        <w:rPr>
          <w:rFonts w:hint="eastAsia" w:cs="宋体"/>
          <w:sz w:val="28"/>
          <w:szCs w:val="28"/>
        </w:rPr>
        <w:t>7.2投标单位参加开标的法定代表人或授权代理人，必须在规定的投标文件递交截止时间前到达现场签到,否则将拒收投标文件。</w:t>
      </w:r>
    </w:p>
    <w:p>
      <w:pPr>
        <w:snapToGrid w:val="0"/>
        <w:spacing w:line="360" w:lineRule="auto"/>
        <w:jc w:val="left"/>
        <w:rPr>
          <w:rFonts w:cs="宋体"/>
          <w:sz w:val="28"/>
          <w:szCs w:val="28"/>
        </w:rPr>
      </w:pPr>
      <w:r>
        <w:rPr>
          <w:rFonts w:hint="eastAsia" w:cs="宋体"/>
          <w:sz w:val="28"/>
          <w:szCs w:val="28"/>
        </w:rPr>
        <w:t>7.3投标企业提供的以上材料须真实可靠，如有弄虚作假，一经发现查实，将不予退还投标保证金，取消投（中）标资格，并在发布招标文件的网站上公示。</w:t>
      </w:r>
    </w:p>
    <w:p>
      <w:pPr>
        <w:snapToGrid w:val="0"/>
        <w:spacing w:line="360" w:lineRule="auto"/>
        <w:jc w:val="left"/>
        <w:rPr>
          <w:rFonts w:cs="宋体"/>
          <w:sz w:val="28"/>
          <w:szCs w:val="28"/>
        </w:rPr>
      </w:pPr>
      <w:r>
        <w:rPr>
          <w:rFonts w:hint="eastAsia" w:cs="宋体"/>
          <w:sz w:val="28"/>
          <w:szCs w:val="28"/>
        </w:rPr>
        <w:t>7.4开标由招标方项目负责人主持，并按规定的程序进行：</w:t>
      </w:r>
    </w:p>
    <w:p>
      <w:pPr>
        <w:pStyle w:val="4"/>
        <w:adjustRightInd w:val="0"/>
        <w:snapToGrid w:val="0"/>
        <w:spacing w:before="315" w:beforeLines="100" w:after="315" w:afterLines="100" w:line="440" w:lineRule="exact"/>
        <w:jc w:val="center"/>
        <w:rPr>
          <w:rFonts w:ascii="宋体" w:hAnsi="宋体" w:eastAsia="宋体" w:cs="宋体"/>
        </w:rPr>
      </w:pPr>
      <w:r>
        <w:rPr>
          <w:rFonts w:hint="eastAsia" w:ascii="宋体" w:hAnsi="宋体" w:eastAsia="宋体" w:cs="宋体"/>
        </w:rPr>
        <w:t>（四）评标</w:t>
      </w:r>
    </w:p>
    <w:p>
      <w:pPr>
        <w:pStyle w:val="5"/>
        <w:adjustRightInd w:val="0"/>
        <w:snapToGrid w:val="0"/>
        <w:spacing w:before="0" w:after="0" w:line="440" w:lineRule="exact"/>
        <w:rPr>
          <w:rFonts w:ascii="宋体" w:hAnsi="宋体" w:cs="宋体"/>
        </w:rPr>
      </w:pPr>
      <w:r>
        <w:rPr>
          <w:rFonts w:hint="eastAsia" w:ascii="宋体" w:hAnsi="宋体" w:cs="宋体"/>
        </w:rPr>
        <w:t>8、评标委员会与评标</w:t>
      </w:r>
    </w:p>
    <w:p>
      <w:pPr>
        <w:snapToGrid w:val="0"/>
        <w:spacing w:line="360" w:lineRule="auto"/>
        <w:jc w:val="left"/>
        <w:rPr>
          <w:rFonts w:cs="宋体"/>
          <w:sz w:val="28"/>
          <w:szCs w:val="28"/>
        </w:rPr>
      </w:pPr>
      <w:r>
        <w:rPr>
          <w:rFonts w:hint="eastAsia" w:cs="宋体"/>
          <w:sz w:val="28"/>
          <w:szCs w:val="28"/>
        </w:rPr>
        <w:t>8.1 评标活动由评标委员会负责。</w:t>
      </w:r>
    </w:p>
    <w:p>
      <w:pPr>
        <w:snapToGrid w:val="0"/>
        <w:spacing w:line="360" w:lineRule="auto"/>
        <w:jc w:val="left"/>
        <w:rPr>
          <w:rFonts w:cs="宋体"/>
          <w:sz w:val="28"/>
          <w:szCs w:val="28"/>
        </w:rPr>
      </w:pPr>
      <w:r>
        <w:rPr>
          <w:rFonts w:hint="eastAsia" w:cs="宋体"/>
          <w:sz w:val="28"/>
          <w:szCs w:val="28"/>
        </w:rPr>
        <w:t>评标委员会由5人组成，其成员由招标方管理人员组成，随机选取。评标过程中纪律检查人员全程监督。</w:t>
      </w:r>
    </w:p>
    <w:p>
      <w:pPr>
        <w:snapToGrid w:val="0"/>
        <w:spacing w:line="360" w:lineRule="auto"/>
        <w:jc w:val="left"/>
        <w:rPr>
          <w:rFonts w:cs="宋体"/>
          <w:sz w:val="28"/>
          <w:szCs w:val="28"/>
        </w:rPr>
      </w:pPr>
      <w:r>
        <w:rPr>
          <w:rFonts w:hint="eastAsia" w:cs="宋体"/>
          <w:sz w:val="28"/>
          <w:szCs w:val="28"/>
        </w:rPr>
        <w:t>8.2评标采用保密方式进行。</w:t>
      </w:r>
    </w:p>
    <w:p>
      <w:pPr>
        <w:snapToGrid w:val="0"/>
        <w:spacing w:line="360" w:lineRule="auto"/>
        <w:jc w:val="left"/>
        <w:rPr>
          <w:rFonts w:cs="宋体"/>
          <w:sz w:val="28"/>
          <w:szCs w:val="28"/>
        </w:rPr>
      </w:pPr>
      <w:r>
        <w:rPr>
          <w:rFonts w:hint="eastAsia" w:cs="宋体"/>
          <w:sz w:val="28"/>
          <w:szCs w:val="28"/>
        </w:rPr>
        <w:t>8.3本次评标采用最低价评标法，评标委员会按照价格从低到高依次排序，推荐前2名为中标候选人。</w:t>
      </w:r>
    </w:p>
    <w:p>
      <w:pPr>
        <w:snapToGrid w:val="0"/>
        <w:spacing w:line="360" w:lineRule="auto"/>
        <w:jc w:val="left"/>
        <w:rPr>
          <w:rFonts w:cs="宋体"/>
          <w:sz w:val="28"/>
          <w:szCs w:val="28"/>
        </w:rPr>
      </w:pPr>
      <w:r>
        <w:rPr>
          <w:rFonts w:hint="eastAsia" w:cs="宋体"/>
          <w:sz w:val="28"/>
          <w:szCs w:val="28"/>
        </w:rPr>
        <w:t>8.4通过评审合格的投标人少于3家，可以采取二次竞价（两家）或谈判（一家）确定</w:t>
      </w:r>
      <w:r>
        <w:rPr>
          <w:rFonts w:hint="eastAsia" w:cs="宋体"/>
          <w:color w:val="000000" w:themeColor="text1"/>
          <w:sz w:val="28"/>
          <w:szCs w:val="28"/>
          <w:lang w:eastAsia="zh-CN"/>
          <w14:textFill>
            <w14:solidFill>
              <w14:schemeClr w14:val="tx1"/>
            </w14:solidFill>
          </w14:textFill>
        </w:rPr>
        <w:t>中标人</w:t>
      </w:r>
      <w:r>
        <w:rPr>
          <w:rFonts w:hint="eastAsia" w:cs="宋体"/>
          <w:sz w:val="28"/>
          <w:szCs w:val="28"/>
        </w:rPr>
        <w:t>。</w:t>
      </w:r>
    </w:p>
    <w:p>
      <w:pPr>
        <w:snapToGrid w:val="0"/>
        <w:spacing w:line="360" w:lineRule="auto"/>
        <w:jc w:val="left"/>
        <w:rPr>
          <w:rFonts w:cs="宋体"/>
          <w:sz w:val="28"/>
          <w:szCs w:val="28"/>
        </w:rPr>
      </w:pPr>
      <w:r>
        <w:rPr>
          <w:rFonts w:hint="eastAsia" w:cs="宋体"/>
          <w:sz w:val="28"/>
          <w:szCs w:val="28"/>
        </w:rPr>
        <w:t>8.5中标人的确定：招标人应从评标委员会推荐的中标候选人中确定预中标人，并进行不少于3个工作日的公示。</w:t>
      </w:r>
    </w:p>
    <w:p>
      <w:pPr>
        <w:pStyle w:val="4"/>
        <w:numPr>
          <w:ilvl w:val="0"/>
          <w:numId w:val="1"/>
        </w:numPr>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合同主要条款</w:t>
      </w:r>
    </w:p>
    <w:p>
      <w:pPr>
        <w:snapToGrid w:val="0"/>
        <w:spacing w:line="360" w:lineRule="auto"/>
        <w:jc w:val="left"/>
        <w:rPr>
          <w:rFonts w:cs="宋体"/>
          <w:b/>
          <w:bCs/>
          <w:sz w:val="28"/>
          <w:szCs w:val="28"/>
        </w:rPr>
      </w:pPr>
      <w:r>
        <w:rPr>
          <w:rFonts w:hint="eastAsia" w:cs="宋体"/>
          <w:b/>
          <w:bCs/>
          <w:sz w:val="28"/>
          <w:szCs w:val="28"/>
        </w:rPr>
        <w:t xml:space="preserve">一、合同工期  </w:t>
      </w:r>
    </w:p>
    <w:p>
      <w:pPr>
        <w:snapToGrid w:val="0"/>
        <w:spacing w:line="360" w:lineRule="auto"/>
        <w:jc w:val="left"/>
        <w:rPr>
          <w:rFonts w:cs="宋体"/>
          <w:sz w:val="28"/>
          <w:szCs w:val="28"/>
        </w:rPr>
      </w:pPr>
      <w:r>
        <w:rPr>
          <w:rFonts w:hint="eastAsia" w:cs="宋体"/>
          <w:sz w:val="28"/>
          <w:szCs w:val="28"/>
        </w:rPr>
        <w:t>施工工期为20 个日历日。</w:t>
      </w:r>
    </w:p>
    <w:p>
      <w:pPr>
        <w:snapToGrid w:val="0"/>
        <w:spacing w:line="360" w:lineRule="auto"/>
        <w:jc w:val="left"/>
        <w:rPr>
          <w:rFonts w:cs="宋体"/>
          <w:sz w:val="28"/>
          <w:szCs w:val="28"/>
        </w:rPr>
      </w:pPr>
      <w:r>
        <w:rPr>
          <w:rFonts w:hint="eastAsia" w:cs="宋体"/>
          <w:sz w:val="28"/>
          <w:szCs w:val="28"/>
        </w:rPr>
        <w:t>具体开工日期以合同签订次日计算，竣工日期以乙方递交竣工验收报告并经甲方签收时间为准；竣工标志为工程实施完毕，甲方验收合格，设备及线路安装符合施工规范和招标文件要求。</w:t>
      </w:r>
    </w:p>
    <w:p>
      <w:pPr>
        <w:snapToGrid w:val="0"/>
        <w:spacing w:line="360" w:lineRule="auto"/>
        <w:jc w:val="left"/>
        <w:rPr>
          <w:rFonts w:cs="宋体"/>
          <w:b/>
          <w:bCs/>
          <w:sz w:val="28"/>
          <w:szCs w:val="28"/>
        </w:rPr>
      </w:pPr>
      <w:r>
        <w:rPr>
          <w:rFonts w:hint="eastAsia" w:cs="宋体"/>
          <w:b/>
          <w:bCs/>
          <w:sz w:val="28"/>
          <w:szCs w:val="28"/>
        </w:rPr>
        <w:t>二、质量标准</w:t>
      </w:r>
    </w:p>
    <w:p>
      <w:pPr>
        <w:snapToGrid w:val="0"/>
        <w:spacing w:line="360" w:lineRule="auto"/>
        <w:jc w:val="left"/>
        <w:rPr>
          <w:rFonts w:cs="宋体"/>
          <w:sz w:val="28"/>
          <w:szCs w:val="28"/>
        </w:rPr>
      </w:pPr>
      <w:r>
        <w:rPr>
          <w:rFonts w:hint="eastAsia" w:cs="宋体"/>
          <w:sz w:val="28"/>
          <w:szCs w:val="28"/>
        </w:rPr>
        <w:t>工程质量符合国家验收标准。</w:t>
      </w:r>
    </w:p>
    <w:p>
      <w:pPr>
        <w:snapToGrid w:val="0"/>
        <w:spacing w:line="360" w:lineRule="auto"/>
        <w:jc w:val="left"/>
        <w:rPr>
          <w:rFonts w:cs="宋体"/>
          <w:b/>
          <w:bCs/>
          <w:sz w:val="28"/>
          <w:szCs w:val="28"/>
        </w:rPr>
      </w:pPr>
      <w:r>
        <w:rPr>
          <w:rFonts w:hint="eastAsia" w:cs="宋体"/>
          <w:b/>
          <w:bCs/>
          <w:sz w:val="28"/>
          <w:szCs w:val="28"/>
          <w:lang w:eastAsia="zh-CN"/>
        </w:rPr>
        <w:t>三</w:t>
      </w:r>
      <w:r>
        <w:rPr>
          <w:rFonts w:hint="eastAsia" w:cs="宋体"/>
          <w:b/>
          <w:bCs/>
          <w:sz w:val="28"/>
          <w:szCs w:val="28"/>
        </w:rPr>
        <w:t>、合同价款</w:t>
      </w:r>
    </w:p>
    <w:p>
      <w:pPr>
        <w:snapToGrid w:val="0"/>
        <w:spacing w:line="360" w:lineRule="auto"/>
        <w:jc w:val="left"/>
        <w:rPr>
          <w:rFonts w:hint="eastAsia" w:cs="宋体"/>
          <w:sz w:val="28"/>
          <w:szCs w:val="28"/>
        </w:rPr>
      </w:pPr>
      <w:r>
        <w:rPr>
          <w:rFonts w:hint="eastAsia" w:cs="宋体"/>
          <w:sz w:val="28"/>
          <w:szCs w:val="28"/>
        </w:rPr>
        <w:t>采用固定总价合同。中标总价为最终结算依据，不予调整。</w:t>
      </w:r>
    </w:p>
    <w:p>
      <w:pPr>
        <w:snapToGrid w:val="0"/>
        <w:spacing w:line="360" w:lineRule="auto"/>
        <w:jc w:val="left"/>
        <w:rPr>
          <w:rFonts w:cs="宋体"/>
          <w:b/>
          <w:bCs/>
          <w:sz w:val="28"/>
          <w:szCs w:val="28"/>
        </w:rPr>
      </w:pPr>
      <w:r>
        <w:rPr>
          <w:rFonts w:hint="eastAsia" w:cs="宋体"/>
          <w:b/>
          <w:bCs/>
          <w:sz w:val="28"/>
          <w:szCs w:val="28"/>
          <w:lang w:eastAsia="zh-CN"/>
        </w:rPr>
        <w:t>四</w:t>
      </w:r>
      <w:r>
        <w:rPr>
          <w:rFonts w:hint="eastAsia" w:cs="宋体"/>
          <w:b/>
          <w:bCs/>
          <w:sz w:val="28"/>
          <w:szCs w:val="28"/>
        </w:rPr>
        <w:t>、工程款支付与结算</w:t>
      </w:r>
    </w:p>
    <w:p>
      <w:pPr>
        <w:snapToGrid w:val="0"/>
        <w:spacing w:line="360" w:lineRule="auto"/>
        <w:jc w:val="left"/>
        <w:rPr>
          <w:rFonts w:cs="宋体"/>
          <w:sz w:val="28"/>
          <w:szCs w:val="28"/>
        </w:rPr>
      </w:pPr>
      <w:r>
        <w:rPr>
          <w:rFonts w:hint="eastAsia" w:cs="宋体"/>
          <w:sz w:val="28"/>
          <w:szCs w:val="28"/>
          <w:lang w:eastAsia="zh-CN"/>
        </w:rPr>
        <w:t>（一）</w:t>
      </w:r>
      <w:r>
        <w:rPr>
          <w:rFonts w:hint="eastAsia" w:cs="宋体"/>
          <w:sz w:val="28"/>
          <w:szCs w:val="28"/>
        </w:rPr>
        <w:t>本工程不支付预付款和进度款，工程竣工验收合格后支付总造价的70%（含7500元设计费，设计费由施工代付）；待工程竣工结算经招标人或委托造价咨询单位审核确认后，支付至结算价的100%。</w:t>
      </w:r>
    </w:p>
    <w:p>
      <w:pPr>
        <w:snapToGrid w:val="0"/>
        <w:spacing w:line="360" w:lineRule="auto"/>
        <w:jc w:val="left"/>
        <w:rPr>
          <w:rFonts w:hint="eastAsia" w:cs="宋体"/>
          <w:sz w:val="28"/>
          <w:szCs w:val="28"/>
        </w:rPr>
      </w:pPr>
      <w:r>
        <w:rPr>
          <w:rFonts w:hint="eastAsia" w:cs="宋体"/>
          <w:sz w:val="28"/>
          <w:szCs w:val="28"/>
          <w:lang w:eastAsia="zh-CN"/>
        </w:rPr>
        <w:t>（二）乙方</w:t>
      </w:r>
      <w:r>
        <w:rPr>
          <w:rFonts w:hint="eastAsia" w:cs="宋体"/>
          <w:sz w:val="28"/>
          <w:szCs w:val="28"/>
        </w:rPr>
        <w:t>提供</w:t>
      </w:r>
      <w:r>
        <w:rPr>
          <w:rFonts w:hint="eastAsia" w:cs="宋体"/>
          <w:sz w:val="28"/>
          <w:szCs w:val="28"/>
          <w:lang w:eastAsia="zh-CN"/>
        </w:rPr>
        <w:t>一般增值税</w:t>
      </w:r>
      <w:r>
        <w:rPr>
          <w:rFonts w:hint="eastAsia" w:cs="宋体"/>
          <w:sz w:val="28"/>
          <w:szCs w:val="28"/>
        </w:rPr>
        <w:t>发票</w:t>
      </w:r>
      <w:r>
        <w:rPr>
          <w:rFonts w:hint="eastAsia" w:cs="宋体"/>
          <w:sz w:val="28"/>
          <w:szCs w:val="28"/>
          <w:lang w:eastAsia="zh-CN"/>
        </w:rPr>
        <w:t>或专票</w:t>
      </w:r>
      <w:r>
        <w:rPr>
          <w:rFonts w:hint="eastAsia" w:cs="宋体"/>
          <w:sz w:val="28"/>
          <w:szCs w:val="28"/>
        </w:rPr>
        <w:t>。</w:t>
      </w:r>
    </w:p>
    <w:p>
      <w:pPr>
        <w:snapToGrid w:val="0"/>
        <w:spacing w:line="360" w:lineRule="auto"/>
        <w:jc w:val="left"/>
        <w:rPr>
          <w:rFonts w:hint="eastAsia" w:cs="宋体"/>
          <w:b/>
          <w:bCs/>
          <w:sz w:val="28"/>
          <w:szCs w:val="28"/>
          <w:lang w:eastAsia="zh-CN"/>
        </w:rPr>
      </w:pPr>
      <w:r>
        <w:rPr>
          <w:rFonts w:hint="eastAsia" w:cs="宋体"/>
          <w:b/>
          <w:bCs/>
          <w:sz w:val="28"/>
          <w:szCs w:val="28"/>
          <w:lang w:eastAsia="zh-CN"/>
        </w:rPr>
        <w:t>五、竣工验收与结算</w:t>
      </w:r>
    </w:p>
    <w:p>
      <w:pPr>
        <w:snapToGrid w:val="0"/>
        <w:spacing w:line="360" w:lineRule="auto"/>
        <w:jc w:val="left"/>
        <w:rPr>
          <w:rFonts w:hint="eastAsia" w:cs="宋体"/>
          <w:sz w:val="28"/>
          <w:szCs w:val="28"/>
          <w:lang w:eastAsia="zh-CN"/>
        </w:rPr>
      </w:pPr>
      <w:r>
        <w:rPr>
          <w:rFonts w:hint="eastAsia" w:cs="宋体"/>
          <w:sz w:val="28"/>
          <w:szCs w:val="28"/>
          <w:lang w:eastAsia="zh-CN"/>
        </w:rPr>
        <w:t>乙方在</w:t>
      </w:r>
      <w:r>
        <w:rPr>
          <w:rFonts w:hint="eastAsia" w:cs="宋体"/>
          <w:sz w:val="28"/>
          <w:szCs w:val="28"/>
        </w:rPr>
        <w:t>完成施工合同约定内容并符合竣工验收条件后的十五日内</w:t>
      </w:r>
      <w:r>
        <w:rPr>
          <w:rFonts w:hint="eastAsia" w:cs="宋体"/>
          <w:sz w:val="28"/>
          <w:szCs w:val="28"/>
          <w:lang w:eastAsia="zh-CN"/>
        </w:rPr>
        <w:t>提请验收</w:t>
      </w:r>
      <w:r>
        <w:rPr>
          <w:rFonts w:hint="eastAsia" w:cs="宋体"/>
          <w:sz w:val="28"/>
          <w:szCs w:val="28"/>
        </w:rPr>
        <w:t>，</w:t>
      </w:r>
      <w:r>
        <w:rPr>
          <w:rFonts w:hint="eastAsia" w:cs="宋体"/>
          <w:sz w:val="28"/>
          <w:szCs w:val="28"/>
          <w:lang w:eastAsia="zh-CN"/>
        </w:rPr>
        <w:t>甲方</w:t>
      </w:r>
      <w:r>
        <w:rPr>
          <w:rFonts w:hint="eastAsia" w:cs="宋体"/>
          <w:sz w:val="28"/>
          <w:szCs w:val="28"/>
        </w:rPr>
        <w:t>组织参建各方进行工程验收。在工程竣工验收合格后，</w:t>
      </w:r>
      <w:r>
        <w:rPr>
          <w:rFonts w:hint="eastAsia" w:cs="宋体"/>
          <w:sz w:val="28"/>
          <w:szCs w:val="28"/>
          <w:lang w:eastAsia="zh-CN"/>
        </w:rPr>
        <w:t>乙方</w:t>
      </w:r>
      <w:r>
        <w:rPr>
          <w:rFonts w:hint="eastAsia" w:cs="宋体"/>
          <w:sz w:val="28"/>
          <w:szCs w:val="28"/>
        </w:rPr>
        <w:t>提出符合要求的结算资料，办理工程结算。</w:t>
      </w:r>
    </w:p>
    <w:p>
      <w:pPr>
        <w:snapToGrid w:val="0"/>
        <w:spacing w:line="360" w:lineRule="auto"/>
        <w:jc w:val="left"/>
        <w:rPr>
          <w:rFonts w:hint="eastAsia" w:cs="宋体"/>
          <w:b/>
          <w:bCs/>
          <w:sz w:val="28"/>
          <w:szCs w:val="28"/>
          <w:lang w:eastAsia="zh-CN"/>
        </w:rPr>
      </w:pPr>
      <w:r>
        <w:rPr>
          <w:rFonts w:hint="eastAsia" w:cs="宋体"/>
          <w:b/>
          <w:bCs/>
          <w:sz w:val="28"/>
          <w:szCs w:val="28"/>
          <w:lang w:eastAsia="zh-CN"/>
        </w:rPr>
        <w:t>六、履约保证金缴纳与退还</w:t>
      </w:r>
    </w:p>
    <w:p>
      <w:pPr>
        <w:pStyle w:val="16"/>
        <w:numPr>
          <w:ilvl w:val="0"/>
          <w:numId w:val="0"/>
        </w:numPr>
        <w:snapToGrid w:val="0"/>
        <w:spacing w:line="360" w:lineRule="auto"/>
        <w:ind w:leftChars="0"/>
        <w:jc w:val="left"/>
        <w:rPr>
          <w:rFonts w:hint="eastAsia" w:cs="宋体"/>
          <w:sz w:val="28"/>
          <w:szCs w:val="28"/>
        </w:rPr>
      </w:pPr>
      <w:r>
        <w:rPr>
          <w:rFonts w:hint="eastAsia" w:cs="宋体"/>
          <w:sz w:val="28"/>
          <w:szCs w:val="28"/>
          <w:lang w:eastAsia="zh-CN"/>
        </w:rPr>
        <w:t>（一）乙方</w:t>
      </w:r>
      <w:r>
        <w:rPr>
          <w:rFonts w:hint="eastAsia" w:cs="宋体"/>
          <w:sz w:val="28"/>
          <w:szCs w:val="28"/>
        </w:rPr>
        <w:t>应于接到中标通知书后的2日内向</w:t>
      </w:r>
      <w:r>
        <w:rPr>
          <w:rFonts w:hint="eastAsia" w:cs="宋体"/>
          <w:sz w:val="28"/>
          <w:szCs w:val="28"/>
          <w:lang w:eastAsia="zh-CN"/>
        </w:rPr>
        <w:t>甲方</w:t>
      </w:r>
      <w:r>
        <w:rPr>
          <w:rFonts w:hint="eastAsia" w:cs="宋体"/>
          <w:sz w:val="28"/>
          <w:szCs w:val="28"/>
        </w:rPr>
        <w:t>指定账户打入成交金额10%的履约保证金。</w:t>
      </w:r>
    </w:p>
    <w:p>
      <w:pPr>
        <w:pStyle w:val="16"/>
        <w:numPr>
          <w:ilvl w:val="0"/>
          <w:numId w:val="0"/>
        </w:numPr>
        <w:snapToGrid w:val="0"/>
        <w:spacing w:line="360" w:lineRule="auto"/>
        <w:ind w:leftChars="0"/>
        <w:jc w:val="left"/>
        <w:rPr>
          <w:rFonts w:cs="宋体"/>
          <w:sz w:val="28"/>
          <w:szCs w:val="28"/>
        </w:rPr>
      </w:pPr>
      <w:r>
        <w:rPr>
          <w:rFonts w:hint="eastAsia" w:cs="宋体"/>
          <w:sz w:val="28"/>
          <w:szCs w:val="28"/>
          <w:lang w:eastAsia="zh-CN"/>
        </w:rPr>
        <w:t>（二）</w:t>
      </w:r>
      <w:r>
        <w:rPr>
          <w:rFonts w:hint="eastAsia" w:cs="宋体"/>
          <w:sz w:val="28"/>
          <w:szCs w:val="28"/>
        </w:rPr>
        <w:t>履约保证金在工程质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p>
    <w:p>
      <w:pPr>
        <w:snapToGrid w:val="0"/>
        <w:spacing w:line="360" w:lineRule="auto"/>
        <w:jc w:val="left"/>
        <w:rPr>
          <w:rFonts w:cs="宋体"/>
          <w:b/>
          <w:bCs/>
          <w:sz w:val="28"/>
          <w:szCs w:val="28"/>
        </w:rPr>
      </w:pPr>
      <w:r>
        <w:rPr>
          <w:rFonts w:hint="eastAsia" w:cs="宋体"/>
          <w:b/>
          <w:bCs/>
          <w:sz w:val="28"/>
          <w:szCs w:val="28"/>
          <w:lang w:eastAsia="zh-CN"/>
        </w:rPr>
        <w:t>七</w:t>
      </w:r>
      <w:r>
        <w:rPr>
          <w:rFonts w:hint="eastAsia" w:cs="宋体"/>
          <w:b/>
          <w:bCs/>
          <w:sz w:val="28"/>
          <w:szCs w:val="28"/>
        </w:rPr>
        <w:t>、违约责任</w:t>
      </w:r>
    </w:p>
    <w:p>
      <w:pPr>
        <w:snapToGrid w:val="0"/>
        <w:spacing w:line="360" w:lineRule="auto"/>
        <w:jc w:val="left"/>
        <w:rPr>
          <w:rFonts w:cs="宋体"/>
          <w:sz w:val="28"/>
          <w:szCs w:val="28"/>
        </w:rPr>
      </w:pPr>
      <w:r>
        <w:rPr>
          <w:rFonts w:hint="eastAsia" w:cs="宋体"/>
          <w:sz w:val="28"/>
          <w:szCs w:val="28"/>
        </w:rPr>
        <w:t>（一）未经</w:t>
      </w:r>
      <w:r>
        <w:rPr>
          <w:rFonts w:hint="eastAsia" w:cs="宋体"/>
          <w:sz w:val="28"/>
          <w:szCs w:val="28"/>
          <w:lang w:eastAsia="zh-CN"/>
        </w:rPr>
        <w:t>甲方</w:t>
      </w:r>
      <w:r>
        <w:rPr>
          <w:rFonts w:hint="eastAsia" w:cs="宋体"/>
          <w:sz w:val="28"/>
          <w:szCs w:val="28"/>
        </w:rPr>
        <w:t>允许，</w:t>
      </w:r>
      <w:r>
        <w:rPr>
          <w:rFonts w:hint="eastAsia" w:cs="宋体"/>
          <w:sz w:val="28"/>
          <w:szCs w:val="28"/>
          <w:lang w:eastAsia="zh-CN"/>
        </w:rPr>
        <w:t>乙方</w:t>
      </w:r>
      <w:r>
        <w:rPr>
          <w:rFonts w:hint="eastAsia" w:cs="宋体"/>
          <w:sz w:val="28"/>
          <w:szCs w:val="28"/>
        </w:rPr>
        <w:t>不得私自将工程分包</w:t>
      </w:r>
      <w:r>
        <w:rPr>
          <w:rFonts w:hint="eastAsia" w:cs="宋体"/>
          <w:sz w:val="28"/>
          <w:szCs w:val="28"/>
          <w:lang w:eastAsia="zh-CN"/>
        </w:rPr>
        <w:t>、</w:t>
      </w:r>
      <w:r>
        <w:rPr>
          <w:rFonts w:hint="eastAsia" w:cs="宋体"/>
          <w:sz w:val="28"/>
          <w:szCs w:val="28"/>
        </w:rPr>
        <w:t>严禁转包。若发现</w:t>
      </w:r>
      <w:r>
        <w:rPr>
          <w:rFonts w:hint="eastAsia" w:cs="宋体"/>
          <w:sz w:val="28"/>
          <w:szCs w:val="28"/>
          <w:lang w:eastAsia="zh-CN"/>
        </w:rPr>
        <w:t>乙方</w:t>
      </w:r>
      <w:r>
        <w:rPr>
          <w:rFonts w:hint="eastAsia" w:cs="宋体"/>
          <w:sz w:val="28"/>
          <w:szCs w:val="28"/>
        </w:rPr>
        <w:t>私自将工程分包或者转包的，</w:t>
      </w:r>
      <w:r>
        <w:rPr>
          <w:rFonts w:hint="eastAsia" w:cs="宋体"/>
          <w:sz w:val="28"/>
          <w:szCs w:val="28"/>
          <w:lang w:eastAsia="zh-CN"/>
        </w:rPr>
        <w:t>甲方</w:t>
      </w:r>
      <w:r>
        <w:rPr>
          <w:rFonts w:hint="eastAsia" w:cs="宋体"/>
          <w:sz w:val="28"/>
          <w:szCs w:val="28"/>
        </w:rPr>
        <w:t>有权终止并解除合同，</w:t>
      </w:r>
      <w:r>
        <w:rPr>
          <w:rFonts w:hint="eastAsia" w:cs="宋体"/>
          <w:sz w:val="28"/>
          <w:szCs w:val="28"/>
          <w:lang w:eastAsia="zh-CN"/>
        </w:rPr>
        <w:t>乙方</w:t>
      </w:r>
      <w:r>
        <w:rPr>
          <w:rFonts w:hint="eastAsia" w:cs="宋体"/>
          <w:sz w:val="28"/>
          <w:szCs w:val="28"/>
        </w:rPr>
        <w:t>因此给</w:t>
      </w:r>
      <w:r>
        <w:rPr>
          <w:rFonts w:hint="eastAsia" w:cs="宋体"/>
          <w:sz w:val="28"/>
          <w:szCs w:val="28"/>
          <w:lang w:eastAsia="zh-CN"/>
        </w:rPr>
        <w:t>甲方</w:t>
      </w:r>
      <w:r>
        <w:rPr>
          <w:rFonts w:hint="eastAsia" w:cs="宋体"/>
          <w:sz w:val="28"/>
          <w:szCs w:val="28"/>
        </w:rPr>
        <w:t>造成的损失</w:t>
      </w:r>
      <w:r>
        <w:rPr>
          <w:rFonts w:hint="eastAsia" w:cs="宋体"/>
          <w:sz w:val="28"/>
          <w:szCs w:val="28"/>
          <w:lang w:eastAsia="zh-CN"/>
        </w:rPr>
        <w:t>从履约保证金中扣除</w:t>
      </w:r>
      <w:r>
        <w:rPr>
          <w:rFonts w:hint="eastAsia" w:cs="宋体"/>
          <w:sz w:val="28"/>
          <w:szCs w:val="28"/>
        </w:rPr>
        <w:t>。</w:t>
      </w:r>
    </w:p>
    <w:p>
      <w:pPr>
        <w:snapToGrid w:val="0"/>
        <w:spacing w:line="360" w:lineRule="auto"/>
        <w:jc w:val="left"/>
        <w:rPr>
          <w:rFonts w:hint="eastAsia" w:cs="宋体"/>
          <w:sz w:val="28"/>
          <w:szCs w:val="28"/>
        </w:rPr>
      </w:pPr>
      <w:r>
        <w:rPr>
          <w:rFonts w:hint="eastAsia" w:cs="宋体"/>
          <w:sz w:val="28"/>
          <w:szCs w:val="28"/>
        </w:rPr>
        <w:t>（</w:t>
      </w:r>
      <w:r>
        <w:rPr>
          <w:rFonts w:hint="eastAsia" w:cs="宋体"/>
          <w:sz w:val="28"/>
          <w:szCs w:val="28"/>
          <w:lang w:eastAsia="zh-CN"/>
        </w:rPr>
        <w:t>二</w:t>
      </w:r>
      <w:r>
        <w:rPr>
          <w:rFonts w:hint="eastAsia" w:cs="宋体"/>
          <w:sz w:val="28"/>
          <w:szCs w:val="28"/>
        </w:rPr>
        <w:t>）</w:t>
      </w:r>
      <w:r>
        <w:rPr>
          <w:rFonts w:hint="eastAsia" w:cs="宋体"/>
          <w:sz w:val="28"/>
          <w:szCs w:val="28"/>
          <w:lang w:eastAsia="zh-CN"/>
        </w:rPr>
        <w:t>若</w:t>
      </w:r>
      <w:r>
        <w:rPr>
          <w:rFonts w:hint="eastAsia" w:cs="宋体"/>
          <w:sz w:val="28"/>
          <w:szCs w:val="28"/>
        </w:rPr>
        <w:t>工期延误</w:t>
      </w:r>
      <w:r>
        <w:rPr>
          <w:rFonts w:hint="eastAsia" w:cs="宋体"/>
          <w:sz w:val="28"/>
          <w:szCs w:val="28"/>
          <w:lang w:eastAsia="zh-CN"/>
        </w:rPr>
        <w:t>，乙方每延误一天承担1000元的违约金，</w:t>
      </w:r>
      <w:r>
        <w:rPr>
          <w:rFonts w:hint="eastAsia" w:cs="宋体"/>
          <w:sz w:val="28"/>
          <w:szCs w:val="28"/>
        </w:rPr>
        <w:t>该违约金从履约保证金中扣除。工期延误</w:t>
      </w:r>
      <w:r>
        <w:rPr>
          <w:rFonts w:hint="eastAsia" w:cs="宋体"/>
          <w:sz w:val="28"/>
          <w:szCs w:val="28"/>
          <w:lang w:val="en-US" w:eastAsia="zh-CN"/>
        </w:rPr>
        <w:t>1</w:t>
      </w:r>
      <w:r>
        <w:rPr>
          <w:rFonts w:hint="eastAsia" w:cs="宋体"/>
          <w:sz w:val="28"/>
          <w:szCs w:val="28"/>
        </w:rPr>
        <w:t>0天的，</w:t>
      </w:r>
      <w:r>
        <w:rPr>
          <w:rFonts w:hint="eastAsia" w:cs="宋体"/>
          <w:color w:val="000000" w:themeColor="text1"/>
          <w:sz w:val="28"/>
          <w:szCs w:val="28"/>
          <w:lang w:eastAsia="zh-CN"/>
          <w14:textFill>
            <w14:solidFill>
              <w14:schemeClr w14:val="tx1"/>
            </w14:solidFill>
          </w14:textFill>
        </w:rPr>
        <w:t>甲方</w:t>
      </w:r>
      <w:r>
        <w:rPr>
          <w:rFonts w:hint="eastAsia" w:cs="宋体"/>
          <w:color w:val="000000" w:themeColor="text1"/>
          <w:sz w:val="28"/>
          <w:szCs w:val="28"/>
          <w14:textFill>
            <w14:solidFill>
              <w14:schemeClr w14:val="tx1"/>
            </w14:solidFill>
          </w14:textFill>
        </w:rPr>
        <w:t>有权解除合同。</w:t>
      </w:r>
    </w:p>
    <w:p>
      <w:pPr>
        <w:snapToGrid w:val="0"/>
        <w:spacing w:line="360" w:lineRule="auto"/>
        <w:jc w:val="left"/>
        <w:rPr>
          <w:rFonts w:ascii="宋体" w:hAnsi="宋体" w:eastAsia="宋体"/>
          <w:b/>
          <w:sz w:val="36"/>
          <w:szCs w:val="36"/>
        </w:rPr>
      </w:pPr>
      <w:r>
        <w:rPr>
          <w:rFonts w:hint="eastAsia" w:cs="宋体"/>
          <w:sz w:val="28"/>
          <w:szCs w:val="28"/>
          <w:lang w:eastAsia="zh-CN"/>
        </w:rPr>
        <w:t>（三）在质量保证期内，若</w:t>
      </w:r>
      <w:r>
        <w:rPr>
          <w:rFonts w:hint="eastAsia" w:cs="宋体"/>
          <w:sz w:val="28"/>
          <w:szCs w:val="28"/>
        </w:rPr>
        <w:t>工程</w:t>
      </w:r>
      <w:r>
        <w:rPr>
          <w:rFonts w:hint="eastAsia" w:cs="宋体"/>
          <w:sz w:val="28"/>
          <w:szCs w:val="28"/>
          <w:lang w:eastAsia="zh-CN"/>
        </w:rPr>
        <w:t>出现</w:t>
      </w:r>
      <w:r>
        <w:rPr>
          <w:rFonts w:hint="eastAsia" w:cs="宋体"/>
          <w:sz w:val="28"/>
          <w:szCs w:val="28"/>
        </w:rPr>
        <w:t>质量</w:t>
      </w:r>
      <w:r>
        <w:rPr>
          <w:rFonts w:hint="eastAsia" w:cs="宋体"/>
          <w:sz w:val="28"/>
          <w:szCs w:val="28"/>
          <w:lang w:eastAsia="zh-CN"/>
        </w:rPr>
        <w:t>问题，乙方免费进行维修。乙方不履行保修义务的，甲方安排第三方进行维修</w:t>
      </w:r>
      <w:r>
        <w:rPr>
          <w:rFonts w:hint="eastAsia" w:cs="宋体"/>
          <w:sz w:val="28"/>
          <w:szCs w:val="28"/>
          <w:lang w:val="en-US" w:eastAsia="zh-CN"/>
        </w:rPr>
        <w:t>，</w:t>
      </w:r>
      <w:r>
        <w:rPr>
          <w:rFonts w:hint="eastAsia" w:cs="宋体"/>
          <w:color w:val="000000" w:themeColor="text1"/>
          <w:sz w:val="28"/>
          <w:szCs w:val="28"/>
          <w14:textFill>
            <w14:solidFill>
              <w14:schemeClr w14:val="tx1"/>
            </w14:solidFill>
          </w14:textFill>
        </w:rPr>
        <w:t>费用由</w:t>
      </w:r>
      <w:r>
        <w:rPr>
          <w:rFonts w:hint="eastAsia" w:cs="宋体"/>
          <w:color w:val="000000" w:themeColor="text1"/>
          <w:sz w:val="28"/>
          <w:szCs w:val="28"/>
          <w:lang w:eastAsia="zh-CN"/>
          <w14:textFill>
            <w14:solidFill>
              <w14:schemeClr w14:val="tx1"/>
            </w14:solidFill>
          </w14:textFill>
        </w:rPr>
        <w:t>乙方承担</w:t>
      </w:r>
      <w:r>
        <w:rPr>
          <w:rFonts w:hint="eastAsia" w:cs="宋体"/>
          <w:sz w:val="28"/>
          <w:szCs w:val="28"/>
          <w:lang w:eastAsia="zh-CN"/>
        </w:rPr>
        <w:t>，从履约保证金中扣除。</w:t>
      </w:r>
      <w:r>
        <w:rPr>
          <w:rFonts w:hint="eastAsia" w:cs="宋体"/>
          <w:sz w:val="28"/>
          <w:szCs w:val="28"/>
        </w:rPr>
        <w:t xml:space="preserve"> </w:t>
      </w:r>
    </w:p>
    <w:p>
      <w:pPr>
        <w:pStyle w:val="7"/>
        <w:spacing w:line="500" w:lineRule="exact"/>
        <w:ind w:left="0"/>
        <w:rPr>
          <w:rFonts w:ascii="宋体" w:hAnsi="宋体" w:eastAsia="宋体"/>
          <w:b/>
          <w:sz w:val="36"/>
          <w:szCs w:val="36"/>
        </w:rPr>
      </w:pPr>
    </w:p>
    <w:p>
      <w:pPr>
        <w:pStyle w:val="7"/>
        <w:spacing w:line="500" w:lineRule="exact"/>
        <w:ind w:left="0"/>
        <w:rPr>
          <w:rFonts w:hint="eastAsia" w:ascii="宋体" w:hAnsi="宋体" w:eastAsia="宋体"/>
          <w:b/>
          <w:sz w:val="36"/>
          <w:szCs w:val="36"/>
        </w:rPr>
      </w:pPr>
    </w:p>
    <w:p>
      <w:pPr>
        <w:pStyle w:val="7"/>
        <w:spacing w:line="500" w:lineRule="exact"/>
        <w:ind w:left="0"/>
        <w:rPr>
          <w:rFonts w:hint="eastAsia" w:ascii="宋体" w:hAnsi="宋体" w:eastAsia="宋体"/>
          <w:b/>
          <w:sz w:val="36"/>
          <w:szCs w:val="36"/>
        </w:rPr>
      </w:pPr>
    </w:p>
    <w:p>
      <w:pPr>
        <w:pStyle w:val="7"/>
        <w:spacing w:line="500" w:lineRule="exact"/>
        <w:ind w:left="0"/>
        <w:rPr>
          <w:rFonts w:ascii="宋体" w:hAnsi="宋体" w:eastAsia="宋体"/>
          <w:b/>
          <w:sz w:val="36"/>
          <w:szCs w:val="36"/>
        </w:rPr>
      </w:pPr>
      <w:r>
        <w:rPr>
          <w:rFonts w:hint="eastAsia" w:ascii="宋体" w:hAnsi="宋体" w:eastAsia="宋体"/>
          <w:b/>
          <w:sz w:val="36"/>
          <w:szCs w:val="36"/>
        </w:rPr>
        <w:t xml:space="preserve">附件1 </w:t>
      </w:r>
    </w:p>
    <w:p>
      <w:pPr>
        <w:pStyle w:val="7"/>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7"/>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7"/>
        <w:spacing w:line="500" w:lineRule="exact"/>
        <w:ind w:left="0" w:firstLine="560" w:firstLineChars="200"/>
        <w:rPr>
          <w:rFonts w:ascii="宋体" w:hAnsi="宋体" w:eastAsia="宋体"/>
          <w:sz w:val="28"/>
          <w:szCs w:val="28"/>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元)的投标总价，遵照招标文件的要求承担本合同工程的实施，完成本工程施工招标全部工程内容及其保修工作,包含代招标人支付的7500元设计费。</w:t>
      </w:r>
    </w:p>
    <w:p>
      <w:pPr>
        <w:spacing w:line="500" w:lineRule="exact"/>
        <w:ind w:firstLine="560" w:firstLineChars="200"/>
        <w:rPr>
          <w:rFonts w:ascii="宋体" w:hAnsi="宋体"/>
          <w:sz w:val="28"/>
          <w:szCs w:val="28"/>
        </w:rPr>
      </w:pPr>
      <w:r>
        <w:rPr>
          <w:rFonts w:hint="eastAsia" w:ascii="宋体" w:hAnsi="宋体"/>
          <w:sz w:val="28"/>
          <w:szCs w:val="28"/>
        </w:rPr>
        <w:t>2、如果你单位接受我们的投标，我们将保证在合同签字盖章后的次日开工，在</w:t>
      </w:r>
      <w:r>
        <w:rPr>
          <w:rFonts w:hint="eastAsia" w:ascii="宋体" w:hAnsi="宋体"/>
          <w:sz w:val="28"/>
          <w:szCs w:val="28"/>
          <w:u w:val="single"/>
        </w:rPr>
        <w:t xml:space="preserve">      </w:t>
      </w:r>
      <w:r>
        <w:rPr>
          <w:rFonts w:hint="eastAsia" w:ascii="宋体" w:hAnsi="宋体"/>
          <w:sz w:val="28"/>
          <w:szCs w:val="28"/>
        </w:rPr>
        <w:t>个日历天的工期内完成所承担的工程，达到合同规定的要求。</w:t>
      </w:r>
    </w:p>
    <w:p>
      <w:pPr>
        <w:spacing w:line="500" w:lineRule="exact"/>
        <w:ind w:firstLine="560" w:firstLineChars="200"/>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 xml:space="preserve">       </w:t>
      </w:r>
      <w:r>
        <w:rPr>
          <w:rFonts w:hint="eastAsia" w:ascii="宋体" w:hAnsi="宋体"/>
          <w:sz w:val="28"/>
          <w:szCs w:val="28"/>
        </w:rPr>
        <w:t>标准。</w:t>
      </w:r>
    </w:p>
    <w:p>
      <w:pPr>
        <w:spacing w:line="500" w:lineRule="exact"/>
        <w:ind w:firstLine="560" w:firstLineChars="200"/>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pStyle w:val="7"/>
        <w:spacing w:line="500" w:lineRule="exact"/>
        <w:ind w:left="0" w:firstLine="525"/>
        <w:rPr>
          <w:rFonts w:ascii="宋体" w:hAnsi="宋体" w:eastAsia="宋体"/>
          <w:sz w:val="28"/>
          <w:szCs w:val="28"/>
        </w:rPr>
      </w:pPr>
      <w:r>
        <w:rPr>
          <w:rFonts w:hint="eastAsia" w:ascii="宋体" w:hAnsi="宋体" w:eastAsia="宋体"/>
          <w:sz w:val="28"/>
          <w:szCs w:val="28"/>
        </w:rPr>
        <w:t>5、在合同书正式签署生效之前，本投标文件(与招标文件有抵触的内容除外)连同你单位的中标通知书将构成我们双方之间共同遵守的文件，对双方具有约束力。</w:t>
      </w:r>
    </w:p>
    <w:p>
      <w:pPr>
        <w:pStyle w:val="7"/>
        <w:spacing w:line="500" w:lineRule="exact"/>
        <w:rPr>
          <w:rFonts w:ascii="宋体" w:hAnsi="宋体" w:eastAsia="宋体"/>
          <w:sz w:val="28"/>
          <w:szCs w:val="28"/>
        </w:rPr>
      </w:pPr>
      <w:r>
        <w:rPr>
          <w:rFonts w:hint="eastAsia" w:ascii="宋体" w:hAnsi="宋体" w:eastAsia="宋体"/>
          <w:sz w:val="28"/>
          <w:szCs w:val="28"/>
        </w:rPr>
        <w:t>6、我们不需要你单位负担我们的任何投标费用。</w:t>
      </w:r>
    </w:p>
    <w:p>
      <w:pPr>
        <w:pStyle w:val="7"/>
        <w:spacing w:line="500" w:lineRule="exact"/>
        <w:ind w:left="0" w:firstLine="630" w:firstLineChars="225"/>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万元的投标保证金。如果我们在本投标文件有效期内撤回投标文件，或在接到中标通知书后未能按时或拒绝签订合同书，你单位有权不予退还投标保证金，并另选中标人。</w:t>
      </w:r>
    </w:p>
    <w:p>
      <w:pPr>
        <w:pStyle w:val="7"/>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hint="eastAsia" w:ascii="宋体" w:hAnsi="宋体" w:eastAsia="宋体"/>
          <w:b/>
          <w:sz w:val="28"/>
          <w:szCs w:val="28"/>
        </w:rPr>
        <w:t>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7"/>
        <w:spacing w:line="500" w:lineRule="exact"/>
        <w:ind w:firstLine="560"/>
        <w:rPr>
          <w:rFonts w:ascii="宋体" w:hAnsi="宋体" w:eastAsia="宋体"/>
          <w:sz w:val="28"/>
          <w:szCs w:val="28"/>
          <w:u w:val="single"/>
        </w:rPr>
      </w:pPr>
    </w:p>
    <w:p>
      <w:pPr>
        <w:pStyle w:val="7"/>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7"/>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7"/>
        <w:spacing w:line="500" w:lineRule="exact"/>
        <w:ind w:left="0"/>
        <w:rPr>
          <w:rFonts w:ascii="宋体" w:hAnsi="宋体"/>
          <w:b/>
          <w:sz w:val="28"/>
          <w:szCs w:val="28"/>
        </w:rPr>
      </w:pPr>
      <w:r>
        <w:rPr>
          <w:rFonts w:hint="eastAsia" w:ascii="宋体" w:hAnsi="宋体"/>
          <w:b/>
          <w:bCs/>
          <w:sz w:val="28"/>
          <w:szCs w:val="28"/>
        </w:rPr>
        <w:t xml:space="preserve">附件2：  </w:t>
      </w:r>
      <w:r>
        <w:rPr>
          <w:rFonts w:hint="eastAsia" w:ascii="宋体" w:hAnsi="宋体"/>
          <w:b/>
          <w:sz w:val="28"/>
          <w:szCs w:val="28"/>
        </w:rPr>
        <w:t xml:space="preserve">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7"/>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7"/>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7"/>
        <w:spacing w:line="500" w:lineRule="exact"/>
        <w:ind w:left="0"/>
        <w:rPr>
          <w:rFonts w:ascii="宋体" w:hAnsi="宋体" w:eastAsia="宋体"/>
          <w:b/>
          <w:sz w:val="28"/>
          <w:szCs w:val="28"/>
        </w:rPr>
      </w:pPr>
      <w:r>
        <w:rPr>
          <w:rFonts w:hint="eastAsia" w:ascii="宋体" w:hAnsi="宋体" w:eastAsia="宋体"/>
          <w:b/>
          <w:sz w:val="28"/>
          <w:szCs w:val="28"/>
        </w:rPr>
        <w:t xml:space="preserve">附件3：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7"/>
        <w:spacing w:line="500" w:lineRule="exact"/>
        <w:ind w:firstLine="560"/>
        <w:rPr>
          <w:rFonts w:ascii="宋体" w:hAnsi="宋体" w:eastAsia="宋体"/>
          <w:sz w:val="28"/>
          <w:szCs w:val="28"/>
        </w:rPr>
      </w:pPr>
    </w:p>
    <w:p>
      <w:pPr>
        <w:pStyle w:val="7"/>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8"/>
        <w:adjustRightInd w:val="0"/>
        <w:snapToGrid w:val="0"/>
        <w:spacing w:after="0" w:line="440" w:lineRule="exact"/>
        <w:ind w:left="0" w:leftChars="0"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7"/>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3"/>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2"/>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7"/>
        <w:spacing w:line="500" w:lineRule="exact"/>
        <w:ind w:left="0"/>
        <w:jc w:val="left"/>
        <w:rPr>
          <w:rFonts w:ascii="宋体" w:hAnsi="宋体" w:eastAsia="宋体"/>
          <w:b/>
          <w:sz w:val="28"/>
          <w:szCs w:val="28"/>
        </w:rPr>
      </w:pPr>
      <w:r>
        <w:rPr>
          <w:rFonts w:hint="eastAsia" w:ascii="宋体" w:hAnsi="宋体" w:eastAsia="宋体"/>
          <w:b/>
          <w:sz w:val="28"/>
          <w:szCs w:val="28"/>
        </w:rPr>
        <w:t xml:space="preserve">附件4：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hAns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附件5</w:t>
      </w:r>
    </w:p>
    <w:p>
      <w:pPr>
        <w:tabs>
          <w:tab w:val="left" w:pos="2640"/>
        </w:tabs>
        <w:spacing w:before="62" w:beforeLines="20" w:after="62" w:afterLines="20" w:line="540" w:lineRule="exact"/>
        <w:jc w:val="left"/>
        <w:rPr>
          <w:rFonts w:ascii="宋体" w:hAnsi="宋体"/>
          <w:b/>
          <w:sz w:val="28"/>
          <w:szCs w:val="28"/>
        </w:rPr>
      </w:pPr>
      <w:r>
        <w:rPr>
          <w:rFonts w:hint="eastAsia" w:ascii="宋体" w:hAnsi="宋体"/>
          <w:b/>
          <w:kern w:val="0"/>
          <w:sz w:val="28"/>
          <w:szCs w:val="28"/>
        </w:rPr>
        <w:t xml:space="preserve">               </w:t>
      </w:r>
      <w:r>
        <w:rPr>
          <w:rFonts w:hint="eastAsia" w:ascii="宋体" w:hAnsi="宋体"/>
          <w:b/>
          <w:sz w:val="28"/>
          <w:szCs w:val="28"/>
        </w:rPr>
        <w:t>建设项目投标报价汇总表（含税费）</w:t>
      </w:r>
    </w:p>
    <w:p>
      <w:pPr>
        <w:tabs>
          <w:tab w:val="left" w:pos="6615"/>
        </w:tabs>
        <w:spacing w:before="62" w:beforeLines="20" w:after="62" w:afterLines="20" w:line="540" w:lineRule="exact"/>
        <w:rPr>
          <w:rFonts w:ascii="宋体" w:hAnsi="宋体"/>
          <w:sz w:val="24"/>
        </w:rPr>
      </w:pPr>
      <w:r>
        <w:rPr>
          <w:rFonts w:hint="eastAsia" w:ascii="宋体" w:hAnsi="宋体"/>
          <w:sz w:val="24"/>
        </w:rPr>
        <w:t>工程名称：                                  第  页  共   页</w:t>
      </w:r>
    </w:p>
    <w:tbl>
      <w:tblPr>
        <w:tblStyle w:val="13"/>
        <w:tblW w:w="7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77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7" w:type="dxa"/>
            <w:vMerge w:val="restart"/>
            <w:vAlign w:val="center"/>
          </w:tcPr>
          <w:p>
            <w:pPr>
              <w:spacing w:line="540" w:lineRule="exact"/>
              <w:jc w:val="center"/>
              <w:rPr>
                <w:rFonts w:ascii="宋体" w:hAnsi="宋体" w:cs="宋体"/>
                <w:sz w:val="24"/>
              </w:rPr>
            </w:pPr>
            <w:r>
              <w:rPr>
                <w:rFonts w:hint="eastAsia" w:ascii="宋体" w:hAnsi="宋体"/>
                <w:sz w:val="24"/>
              </w:rPr>
              <w:t>序号</w:t>
            </w:r>
          </w:p>
        </w:tc>
        <w:tc>
          <w:tcPr>
            <w:tcW w:w="4779" w:type="dxa"/>
            <w:vMerge w:val="restart"/>
            <w:vAlign w:val="center"/>
          </w:tcPr>
          <w:p>
            <w:pPr>
              <w:spacing w:line="540" w:lineRule="exact"/>
              <w:jc w:val="center"/>
              <w:rPr>
                <w:rFonts w:ascii="宋体" w:hAnsi="宋体" w:cs="宋体"/>
                <w:sz w:val="24"/>
              </w:rPr>
            </w:pPr>
            <w:r>
              <w:rPr>
                <w:rFonts w:hint="eastAsia" w:ascii="宋体" w:hAnsi="宋体"/>
                <w:sz w:val="24"/>
              </w:rPr>
              <w:t>单项工程名称</w:t>
            </w:r>
          </w:p>
        </w:tc>
        <w:tc>
          <w:tcPr>
            <w:tcW w:w="1515" w:type="dxa"/>
            <w:vMerge w:val="restart"/>
            <w:vAlign w:val="center"/>
          </w:tcPr>
          <w:p>
            <w:pPr>
              <w:spacing w:line="540" w:lineRule="exact"/>
              <w:jc w:val="center"/>
              <w:rPr>
                <w:rFonts w:ascii="宋体" w:hAnsi="宋体" w:cs="宋体"/>
                <w:sz w:val="24"/>
              </w:rPr>
            </w:pPr>
            <w:r>
              <w:rPr>
                <w:rFonts w:hint="eastAsia" w:ascii="宋体" w:hAnsi="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7" w:type="dxa"/>
            <w:vMerge w:val="continue"/>
            <w:vAlign w:val="center"/>
          </w:tcPr>
          <w:p>
            <w:pPr>
              <w:spacing w:line="540" w:lineRule="exact"/>
              <w:jc w:val="center"/>
            </w:pPr>
          </w:p>
        </w:tc>
        <w:tc>
          <w:tcPr>
            <w:tcW w:w="4779" w:type="dxa"/>
            <w:vMerge w:val="continue"/>
            <w:vAlign w:val="center"/>
          </w:tcPr>
          <w:p>
            <w:pPr>
              <w:spacing w:line="540" w:lineRule="exact"/>
              <w:jc w:val="center"/>
            </w:pPr>
          </w:p>
        </w:tc>
        <w:tc>
          <w:tcPr>
            <w:tcW w:w="1515" w:type="dxa"/>
            <w:vMerge w:val="continue"/>
            <w:vAlign w:val="center"/>
          </w:tcPr>
          <w:p>
            <w:pPr>
              <w:spacing w:line="5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spacing w:line="540" w:lineRule="exact"/>
              <w:jc w:val="center"/>
              <w:rPr>
                <w:rFonts w:ascii="宋体" w:hAnsi="宋体" w:cs="宋体"/>
                <w:sz w:val="24"/>
              </w:rPr>
            </w:pPr>
            <w:r>
              <w:rPr>
                <w:rFonts w:hint="eastAsia" w:ascii="宋体" w:hAnsi="宋体"/>
                <w:sz w:val="24"/>
              </w:rPr>
              <w:t xml:space="preserve">1 </w:t>
            </w:r>
          </w:p>
        </w:tc>
        <w:tc>
          <w:tcPr>
            <w:tcW w:w="4779" w:type="dxa"/>
            <w:vAlign w:val="center"/>
          </w:tcPr>
          <w:p>
            <w:pPr>
              <w:spacing w:line="540" w:lineRule="exact"/>
              <w:jc w:val="center"/>
              <w:rPr>
                <w:rFonts w:ascii="宋体" w:hAnsi="宋体" w:cs="宋体"/>
                <w:sz w:val="24"/>
              </w:rPr>
            </w:pPr>
            <w:r>
              <w:rPr>
                <w:rFonts w:hint="eastAsia" w:ascii="宋体" w:hAnsi="宋体" w:cs="宋体"/>
                <w:sz w:val="24"/>
              </w:rPr>
              <w:t>代付设计费</w:t>
            </w:r>
          </w:p>
        </w:tc>
        <w:tc>
          <w:tcPr>
            <w:tcW w:w="1515" w:type="dxa"/>
          </w:tcPr>
          <w:p>
            <w:pPr>
              <w:spacing w:before="62" w:beforeLines="20" w:after="62" w:afterLines="20" w:line="540" w:lineRule="exact"/>
              <w:jc w:val="center"/>
              <w:rPr>
                <w:rFonts w:ascii="宋体" w:hAnsi="宋体"/>
                <w:sz w:val="24"/>
              </w:rPr>
            </w:pPr>
            <w:r>
              <w:rPr>
                <w:rFonts w:hint="eastAsia" w:ascii="宋体" w:hAnsi="宋体"/>
                <w:sz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spacing w:before="62" w:beforeLines="20" w:after="62" w:afterLines="20" w:line="540" w:lineRule="exact"/>
              <w:rPr>
                <w:rFonts w:ascii="宋体" w:hAnsi="宋体"/>
                <w:sz w:val="24"/>
              </w:rPr>
            </w:pPr>
          </w:p>
        </w:tc>
        <w:tc>
          <w:tcPr>
            <w:tcW w:w="4779" w:type="dxa"/>
          </w:tcPr>
          <w:p>
            <w:pPr>
              <w:spacing w:before="62" w:beforeLines="20" w:after="62" w:afterLines="20" w:line="540" w:lineRule="exact"/>
              <w:rPr>
                <w:rFonts w:ascii="宋体" w:hAnsi="宋体"/>
                <w:sz w:val="24"/>
              </w:rPr>
            </w:pPr>
          </w:p>
        </w:tc>
        <w:tc>
          <w:tcPr>
            <w:tcW w:w="1515" w:type="dxa"/>
          </w:tcPr>
          <w:p>
            <w:pPr>
              <w:spacing w:before="62" w:beforeLines="20" w:after="62" w:afterLines="20" w:line="5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spacing w:line="540" w:lineRule="exact"/>
              <w:jc w:val="center"/>
              <w:rPr>
                <w:rFonts w:ascii="宋体" w:hAnsi="宋体" w:cs="宋体"/>
                <w:sz w:val="24"/>
              </w:rPr>
            </w:pPr>
            <w:r>
              <w:rPr>
                <w:rFonts w:hint="eastAsia" w:ascii="宋体" w:hAnsi="宋体"/>
                <w:sz w:val="24"/>
              </w:rPr>
              <w:t>合计</w:t>
            </w:r>
          </w:p>
        </w:tc>
        <w:tc>
          <w:tcPr>
            <w:tcW w:w="4779" w:type="dxa"/>
            <w:vAlign w:val="center"/>
          </w:tcPr>
          <w:p>
            <w:pPr>
              <w:spacing w:line="540" w:lineRule="exact"/>
              <w:jc w:val="center"/>
              <w:rPr>
                <w:rFonts w:ascii="宋体" w:hAnsi="宋体" w:cs="宋体"/>
                <w:sz w:val="24"/>
              </w:rPr>
            </w:pPr>
          </w:p>
        </w:tc>
        <w:tc>
          <w:tcPr>
            <w:tcW w:w="1515" w:type="dxa"/>
          </w:tcPr>
          <w:p>
            <w:pPr>
              <w:spacing w:before="62" w:beforeLines="20" w:after="62" w:afterLines="20" w:line="540" w:lineRule="exact"/>
              <w:rPr>
                <w:rFonts w:ascii="宋体" w:hAnsi="宋体"/>
                <w:sz w:val="24"/>
              </w:rPr>
            </w:pPr>
          </w:p>
        </w:tc>
      </w:tr>
    </w:tbl>
    <w:p>
      <w:pPr>
        <w:tabs>
          <w:tab w:val="left" w:pos="11010"/>
        </w:tabs>
        <w:spacing w:before="62" w:beforeLines="20" w:after="62" w:afterLines="20" w:line="540" w:lineRule="exact"/>
        <w:ind w:right="-1"/>
        <w:jc w:val="left"/>
        <w:rPr>
          <w:rFonts w:ascii="宋体" w:hAnsi="宋体"/>
          <w:b/>
          <w:kern w:val="0"/>
          <w:sz w:val="28"/>
          <w:szCs w:val="28"/>
        </w:rPr>
      </w:pPr>
    </w:p>
    <w:p>
      <w:pPr>
        <w:rPr>
          <w:rFonts w:ascii="宋体" w:hAnsi="宋体" w:eastAsia="宋体"/>
          <w:b/>
          <w:sz w:val="28"/>
          <w:szCs w:val="28"/>
        </w:rPr>
      </w:pPr>
      <w:r>
        <w:rPr>
          <w:rFonts w:hint="eastAsia" w:ascii="宋体" w:hAnsi="宋体"/>
          <w:b/>
          <w:kern w:val="0"/>
          <w:sz w:val="28"/>
          <w:szCs w:val="28"/>
        </w:rPr>
        <w:t>附件6：</w:t>
      </w:r>
      <w:r>
        <w:rPr>
          <w:rFonts w:hint="eastAsia" w:ascii="宋体" w:hAnsi="宋体" w:eastAsia="宋体"/>
          <w:b/>
          <w:sz w:val="28"/>
          <w:szCs w:val="28"/>
        </w:rPr>
        <w:t>分项报价表（包含完成该项内容所包含的所有投入和税费）</w:t>
      </w:r>
    </w:p>
    <w:tbl>
      <w:tblPr>
        <w:tblStyle w:val="13"/>
        <w:tblW w:w="9491" w:type="dxa"/>
        <w:tblInd w:w="0" w:type="dxa"/>
        <w:tblLayout w:type="fixed"/>
        <w:tblCellMar>
          <w:top w:w="0" w:type="dxa"/>
          <w:left w:w="0" w:type="dxa"/>
          <w:bottom w:w="0" w:type="dxa"/>
          <w:right w:w="0" w:type="dxa"/>
        </w:tblCellMar>
      </w:tblPr>
      <w:tblGrid>
        <w:gridCol w:w="1080"/>
        <w:gridCol w:w="2610"/>
        <w:gridCol w:w="3825"/>
        <w:gridCol w:w="988"/>
        <w:gridCol w:w="988"/>
      </w:tblGrid>
      <w:tr>
        <w:tblPrEx>
          <w:tblCellMar>
            <w:top w:w="0" w:type="dxa"/>
            <w:left w:w="0" w:type="dxa"/>
            <w:bottom w:w="0" w:type="dxa"/>
            <w:right w:w="0"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项目特征</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工程量</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价格</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装饰装修系统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p>
        </w:tc>
      </w:tr>
      <w:tr>
        <w:tblPrEx>
          <w:tblCellMar>
            <w:top w:w="0" w:type="dxa"/>
            <w:left w:w="0" w:type="dxa"/>
            <w:bottom w:w="0" w:type="dxa"/>
            <w:right w:w="0" w:type="dxa"/>
          </w:tblCellMar>
        </w:tblPrEx>
        <w:trPr>
          <w:trHeight w:val="21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地面部分（防静电地板）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1、600*600mm，背部十字架加强承载设计陶瓷地板，集中荷载≥363Kg；基层板防火等级：A级；地面防尘处理；</w:t>
            </w:r>
            <w:r>
              <w:rPr>
                <w:rFonts w:hint="eastAsia" w:ascii="宋体" w:hAnsi="宋体" w:eastAsia="宋体" w:cs="宋体"/>
                <w:kern w:val="0"/>
                <w:sz w:val="24"/>
              </w:rPr>
              <w:br w:type="textWrapping"/>
            </w:r>
            <w:r>
              <w:rPr>
                <w:rFonts w:hint="eastAsia" w:ascii="宋体" w:hAnsi="宋体" w:eastAsia="宋体" w:cs="宋体"/>
                <w:kern w:val="0"/>
                <w:sz w:val="24"/>
              </w:rPr>
              <w:t>2、品牌：</w:t>
            </w:r>
            <w:r>
              <w:rPr>
                <w:rFonts w:hint="eastAsia" w:ascii="宋体" w:hAnsi="宋体"/>
                <w:color w:val="000000"/>
                <w:kern w:val="0"/>
                <w:sz w:val="24"/>
              </w:rPr>
              <w:t>科力佳</w:t>
            </w:r>
            <w:r>
              <w:rPr>
                <w:rFonts w:hint="eastAsia" w:ascii="宋体" w:hAnsi="宋体" w:eastAsia="宋体" w:cs="宋体"/>
                <w:kern w:val="0"/>
                <w:sz w:val="24"/>
              </w:rPr>
              <w:t>、东鹏、诺贝尔等同档次品牌；</w:t>
            </w:r>
            <w:r>
              <w:rPr>
                <w:rFonts w:hint="eastAsia" w:ascii="宋体" w:hAnsi="宋体" w:eastAsia="宋体" w:cs="宋体"/>
                <w:kern w:val="0"/>
                <w:sz w:val="24"/>
              </w:rPr>
              <w:br w:type="textWrapping"/>
            </w:r>
            <w:r>
              <w:rPr>
                <w:rFonts w:hint="eastAsia" w:ascii="宋体" w:hAnsi="宋体" w:eastAsia="宋体" w:cs="宋体"/>
                <w:kern w:val="0"/>
                <w:sz w:val="24"/>
              </w:rPr>
              <w:t>3、具体内容详见图纸。</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4、陶瓷地板的铺装需达到国家三甲医院机房相关标准要求。</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100.35㎡</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21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地面部分（瓷砖）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1、800*800mm；</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2、品牌：</w:t>
            </w:r>
            <w:r>
              <w:rPr>
                <w:rFonts w:hint="eastAsia" w:ascii="宋体" w:hAnsi="宋体"/>
                <w:color w:val="000000"/>
                <w:kern w:val="0"/>
                <w:sz w:val="24"/>
              </w:rPr>
              <w:t>科力佳</w:t>
            </w:r>
            <w:r>
              <w:rPr>
                <w:rFonts w:hint="eastAsia" w:ascii="宋体" w:hAnsi="宋体" w:eastAsia="宋体" w:cs="宋体"/>
                <w:kern w:val="0"/>
                <w:sz w:val="24"/>
              </w:rPr>
              <w:t>、东鹏、诺贝尔等同档次品牌。</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36㎡</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1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顶面部分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顶面轻钢龙骨、机房金属微孔吸音铝板要求：板面规格：600*600mm，孔径Φ2.2；材质≥0.8mm厚铝合金基材，配套辅材：三角龙骨和铝制收边件；</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3、施工时严格按照机房建设规范施工，完工后需达到国家相关标准。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143㎡</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6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墙柱面部分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jc w:val="left"/>
              <w:textAlignment w:val="center"/>
              <w:rPr>
                <w:rFonts w:ascii="宋体" w:hAnsi="宋体" w:eastAsia="宋体" w:cs="宋体"/>
                <w:kern w:val="0"/>
                <w:sz w:val="24"/>
              </w:rPr>
            </w:pPr>
            <w:r>
              <w:rPr>
                <w:rFonts w:hint="eastAsia" w:ascii="宋体" w:hAnsi="宋体" w:eastAsia="宋体" w:cs="宋体"/>
                <w:kern w:val="0"/>
                <w:sz w:val="24"/>
              </w:rPr>
              <w:t>C75墙面轻钢龙骨、20mm厚机房墙面保温棉、0.8mm彩钢板，其中彩钢板要求：表面材：深圳穹明、首钢、鞍钢等同档次品牌产SGCCT=0.8mm，背衬材料：T=12mm耐火石膏板，需使用圣戈班等同档次品牌产品。采用全自动高压静电超高速旋转雾状喷涂技术。规格型号：金属面夹芯板CW0.8mm，厚度12.8mm；</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p>
            <w:pPr>
              <w:widowControl/>
              <w:jc w:val="left"/>
              <w:textAlignment w:val="center"/>
              <w:rPr>
                <w:rFonts w:ascii="宋体" w:hAnsi="宋体" w:eastAsia="宋体" w:cs="宋体"/>
                <w:kern w:val="0"/>
                <w:sz w:val="24"/>
              </w:rPr>
            </w:pPr>
            <w:r>
              <w:rPr>
                <w:rFonts w:hint="eastAsia" w:ascii="宋体" w:hAnsi="宋体" w:eastAsia="宋体" w:cs="宋体"/>
                <w:kern w:val="0"/>
                <w:sz w:val="24"/>
              </w:rPr>
              <w:t>3、施工时严格按照机房建设规范施工，完工后需达到国家三甲医院机房相关标准要求。</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251㎡</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不锈钢踢脚线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1、1.0mm厚不锈钢板，80mm高；</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80m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31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甲级钢制防火门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Style w:val="15"/>
                <w:rFonts w:hint="default"/>
                <w:color w:val="auto"/>
              </w:rPr>
            </w:pPr>
            <w:r>
              <w:rPr>
                <w:rFonts w:hint="eastAsia" w:ascii="宋体" w:hAnsi="宋体" w:eastAsia="宋体" w:cs="宋体"/>
                <w:kern w:val="0"/>
                <w:sz w:val="24"/>
              </w:rPr>
              <w:t>钢制甲级防火门，双扇</w:t>
            </w:r>
            <w:r>
              <w:rPr>
                <w:rFonts w:hint="eastAsia" w:ascii="宋体" w:hAnsi="宋体" w:eastAsia="宋体" w:cs="宋体"/>
                <w:color w:val="000000" w:themeColor="text1"/>
                <w:kern w:val="0"/>
                <w:sz w:val="24"/>
                <w14:textFill>
                  <w14:solidFill>
                    <w14:schemeClr w14:val="tx1"/>
                  </w14:solidFill>
                </w14:textFill>
              </w:rPr>
              <w:t>12</w:t>
            </w:r>
            <w:r>
              <w:rPr>
                <w:rStyle w:val="15"/>
                <w:rFonts w:hint="default"/>
                <w:color w:val="000000" w:themeColor="text1"/>
                <w14:textFill>
                  <w14:solidFill>
                    <w14:schemeClr w14:val="tx1"/>
                  </w14:solidFill>
                </w14:textFill>
              </w:rPr>
              <w:t>00*2100m</w:t>
            </w:r>
            <w:r>
              <w:rPr>
                <w:rFonts w:ascii="宋体" w:hAnsi="宋体" w:eastAsia="宋体" w:cs="宋体"/>
                <w:color w:val="000000" w:themeColor="text1"/>
                <w:kern w:val="0"/>
                <w:sz w:val="24"/>
                <w14:textFill>
                  <w14:solidFill>
                    <w14:schemeClr w14:val="tx1"/>
                  </w14:solidFill>
                </w14:textFill>
              </w:rPr>
              <w:t>m</w:t>
            </w:r>
            <w:r>
              <w:rPr>
                <w:rStyle w:val="15"/>
                <w:rFonts w:hint="default"/>
                <w:color w:val="000000" w:themeColor="text1"/>
                <w14:textFill>
                  <w14:solidFill>
                    <w14:schemeClr w14:val="tx1"/>
                  </w14:solidFill>
                </w14:textFill>
              </w:rPr>
              <w:t>，</w:t>
            </w:r>
            <w:r>
              <w:rPr>
                <w:rStyle w:val="15"/>
                <w:rFonts w:hint="default"/>
                <w:color w:val="auto"/>
              </w:rPr>
              <w:t>门板面板表面为0.8mm厚优质热镀锌钢板SGCC，门扇厚60mm。门框面板为1.6mm厚优质热镀锌钢板SGCC，框厚130mm。门框形式双止口式样，对称，外观美观大方；选用优质五金件，确保门的使用寿命；门框与墙体之间连接稳定，门框与墙体之间做灌浆处理。</w:t>
            </w:r>
            <w:r>
              <w:rPr>
                <w:rStyle w:val="15"/>
                <w:rFonts w:hint="default"/>
                <w:color w:val="auto"/>
              </w:rPr>
              <w:br w:type="textWrapping"/>
            </w:r>
            <w:r>
              <w:rPr>
                <w:rStyle w:val="15"/>
                <w:rFonts w:hint="default"/>
                <w:color w:val="auto"/>
              </w:rPr>
              <w:t>2、具体内容详见图纸。</w:t>
            </w:r>
          </w:p>
          <w:p>
            <w:pPr>
              <w:widowControl/>
              <w:jc w:val="left"/>
              <w:textAlignment w:val="center"/>
              <w:rPr>
                <w:rStyle w:val="15"/>
                <w:rFonts w:hint="default"/>
                <w:color w:val="auto"/>
              </w:rPr>
            </w:pPr>
            <w:r>
              <w:rPr>
                <w:rStyle w:val="15"/>
                <w:rFonts w:hint="default"/>
                <w:color w:val="auto"/>
              </w:rPr>
              <w:t>3、施工时严格按照机房建设规范施工，完工后需达到国家相关标准。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3樘</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11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5"/>
                <w:rFonts w:hint="default"/>
                <w:color w:val="auto"/>
              </w:rPr>
            </w:pPr>
            <w:r>
              <w:rPr>
                <w:rStyle w:val="15"/>
                <w:rFonts w:hint="default"/>
                <w:color w:val="auto"/>
              </w:rPr>
              <w:t>机房门窗、墙体拆除</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5"/>
                <w:rFonts w:hint="default"/>
                <w:color w:val="auto"/>
              </w:rPr>
            </w:pPr>
            <w:r>
              <w:rPr>
                <w:rStyle w:val="15"/>
                <w:rFonts w:hint="default"/>
                <w:color w:val="auto"/>
              </w:rPr>
              <w:t>1、现有预改造机房墙体的拆除、门窗拆卸封堵、外墙粉刷、垃圾托运；</w:t>
            </w:r>
            <w:r>
              <w:rPr>
                <w:rStyle w:val="15"/>
                <w:rFonts w:hint="default"/>
                <w:color w:val="auto"/>
              </w:rPr>
              <w:br w:type="textWrapping"/>
            </w:r>
            <w:r>
              <w:rPr>
                <w:rStyle w:val="15"/>
                <w:rFonts w:hint="default"/>
                <w:color w:val="auto"/>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5"/>
                <w:rFonts w:hint="default"/>
                <w:color w:val="000000" w:themeColor="text1"/>
                <w14:textFill>
                  <w14:solidFill>
                    <w14:schemeClr w14:val="tx1"/>
                  </w14:solidFill>
                </w14:textFill>
              </w:rPr>
            </w:pPr>
            <w:r>
              <w:rPr>
                <w:rStyle w:val="15"/>
                <w:rFonts w:hint="default"/>
                <w:color w:val="000000" w:themeColor="text1"/>
                <w14:textFill>
                  <w14:solidFill>
                    <w14:schemeClr w14:val="tx1"/>
                  </w14:solidFill>
                </w14:textFill>
              </w:rPr>
              <w:t>防火窗帘（含单轨道）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5"/>
                <w:rFonts w:hint="default"/>
                <w:color w:val="000000" w:themeColor="text1"/>
                <w14:textFill>
                  <w14:solidFill>
                    <w14:schemeClr w14:val="tx1"/>
                  </w14:solidFill>
                </w14:textFill>
              </w:rPr>
            </w:pPr>
            <w:r>
              <w:rPr>
                <w:rStyle w:val="15"/>
                <w:rFonts w:hint="default"/>
                <w:color w:val="000000" w:themeColor="text1"/>
                <w14:textFill>
                  <w14:solidFill>
                    <w14:schemeClr w14:val="tx1"/>
                  </w14:solidFill>
                </w14:textFill>
              </w:rPr>
              <w:t>窗帘材质采用防火材质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24"/>
              </w:rPr>
            </w:pPr>
            <w:r>
              <w:rPr>
                <w:rFonts w:hint="eastAsia" w:ascii="宋体" w:hAnsi="宋体" w:eastAsia="宋体" w:cs="宋体"/>
                <w:color w:val="000000" w:themeColor="text1"/>
                <w:kern w:val="0"/>
                <w:sz w:val="24"/>
                <w14:textFill>
                  <w14:solidFill>
                    <w14:schemeClr w14:val="tx1"/>
                  </w14:solidFill>
                </w14:textFill>
              </w:rPr>
              <w:t>27㎡</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防爆钢化玻璃窗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1、防爆钢化玻璃，窗套为成品安装；</w:t>
            </w:r>
            <w:r>
              <w:rPr>
                <w:rFonts w:hint="eastAsia" w:ascii="宋体" w:hAnsi="宋体" w:eastAsia="宋体" w:cs="宋体"/>
                <w:kern w:val="0"/>
                <w:sz w:val="24"/>
              </w:rPr>
              <w:br w:type="textWrapping"/>
            </w:r>
            <w:r>
              <w:rPr>
                <w:rFonts w:hint="eastAsia" w:ascii="宋体" w:hAnsi="宋体" w:eastAsia="宋体" w:cs="宋体"/>
                <w:kern w:val="0"/>
                <w:sz w:val="24"/>
              </w:rPr>
              <w:t>2</w:t>
            </w:r>
            <w:r>
              <w:rPr>
                <w:rStyle w:val="15"/>
                <w:rFonts w:hint="default"/>
                <w:color w:val="auto"/>
              </w:rPr>
              <w:t>、具体内容详见图纸。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16.5㎡</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踏步</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kern w:val="0"/>
                <w:sz w:val="24"/>
              </w:rPr>
            </w:pPr>
            <w:r>
              <w:rPr>
                <w:rFonts w:hint="eastAsia" w:ascii="宋体" w:hAnsi="宋体" w:eastAsia="宋体" w:cs="宋体"/>
                <w:kern w:val="0"/>
                <w:sz w:val="24"/>
              </w:rPr>
              <w:t>1、机房定制；</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6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消防系统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消防系统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widowControl/>
              <w:numPr>
                <w:ilvl w:val="0"/>
                <w:numId w:val="4"/>
              </w:numPr>
              <w:ind w:firstLineChars="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设备智能光电烟感、温感报警系统JB-QBL-EI8000S</w:t>
            </w:r>
            <w:r>
              <w:rPr>
                <w:rFonts w:hint="eastAsia" w:ascii="宋体" w:hAnsi="宋体" w:eastAsia="宋体" w:cs="宋体"/>
                <w:color w:val="000000" w:themeColor="text1"/>
                <w:kern w:val="0"/>
                <w:sz w:val="24"/>
                <w:lang w:eastAsia="zh-CN"/>
                <w14:textFill>
                  <w14:solidFill>
                    <w14:schemeClr w14:val="tx1"/>
                  </w14:solidFill>
                </w14:textFill>
              </w:rPr>
              <w:t>一套以及</w:t>
            </w:r>
            <w:r>
              <w:rPr>
                <w:rFonts w:hint="eastAsia" w:ascii="宋体" w:hAnsi="宋体" w:eastAsia="宋体" w:cs="宋体"/>
                <w:color w:val="000000" w:themeColor="text1"/>
                <w:kern w:val="0"/>
                <w:sz w:val="24"/>
                <w14:textFill>
                  <w14:solidFill>
                    <w14:schemeClr w14:val="tx1"/>
                  </w14:solidFill>
                </w14:textFill>
              </w:rPr>
              <w:t>安装和调试</w:t>
            </w:r>
            <w:r>
              <w:rPr>
                <w:rFonts w:hint="eastAsia" w:ascii="宋体" w:hAnsi="宋体" w:eastAsia="宋体" w:cs="宋体"/>
                <w:color w:val="000000" w:themeColor="text1"/>
                <w:kern w:val="0"/>
                <w:sz w:val="24"/>
                <w:lang w:eastAsia="zh-CN"/>
                <w14:textFill>
                  <w14:solidFill>
                    <w14:schemeClr w14:val="tx1"/>
                  </w14:solidFill>
                </w14:textFill>
              </w:rPr>
              <w:t>。</w:t>
            </w:r>
          </w:p>
          <w:p>
            <w:pPr>
              <w:pStyle w:val="16"/>
              <w:widowControl/>
              <w:numPr>
                <w:ilvl w:val="0"/>
                <w:numId w:val="4"/>
              </w:numPr>
              <w:ind w:firstLineChars="0"/>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防雷接地系统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浪涌保护器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OBO浪涌保护器 V25-B+C/3+NPE</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1个</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等电位连接</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1、机房定制；</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接地系统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Style w:val="15"/>
                <w:rFonts w:hint="default"/>
                <w:color w:val="auto"/>
              </w:rPr>
              <w:t>1、采用室外接地极；</w:t>
            </w:r>
            <w:r>
              <w:rPr>
                <w:rStyle w:val="15"/>
                <w:rFonts w:hint="default"/>
                <w:color w:val="auto"/>
              </w:rPr>
              <w:br w:type="textWrapping"/>
            </w:r>
            <w:r>
              <w:rPr>
                <w:rStyle w:val="15"/>
                <w:rFonts w:hint="default"/>
                <w:color w:val="auto"/>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w:t>
            </w:r>
            <w:r>
              <w:rPr>
                <w:rStyle w:val="15"/>
                <w:rFonts w:hint="default"/>
                <w:color w:val="auto"/>
              </w:rPr>
              <w:t>0m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接地引线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1、ZRBVR6mm2；</w:t>
            </w:r>
            <w:r>
              <w:rPr>
                <w:rFonts w:hint="eastAsia" w:ascii="宋体" w:hAnsi="宋体" w:eastAsia="宋体" w:cs="宋体"/>
                <w:color w:val="000000" w:themeColor="text1"/>
                <w:kern w:val="0"/>
                <w:sz w:val="24"/>
                <w14:textFill>
                  <w14:solidFill>
                    <w14:schemeClr w14:val="tx1"/>
                  </w14:solidFill>
                </w14:textFill>
              </w:rPr>
              <w:br w:type="textWrapping"/>
            </w:r>
            <w:r>
              <w:rPr>
                <w:rStyle w:val="15"/>
                <w:rFonts w:hint="default"/>
                <w:color w:val="000000" w:themeColor="text1"/>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r>
              <w:rPr>
                <w:rStyle w:val="15"/>
                <w:rFonts w:hint="default"/>
                <w:color w:val="000000" w:themeColor="text1"/>
                <w14:textFill>
                  <w14:solidFill>
                    <w14:schemeClr w14:val="tx1"/>
                  </w14:solidFill>
                </w14:textFill>
              </w:rPr>
              <w:t>0m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接地引线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1、ZRBVR35mm2；</w:t>
            </w:r>
            <w:r>
              <w:rPr>
                <w:rFonts w:hint="eastAsia" w:ascii="宋体" w:hAnsi="宋体" w:eastAsia="宋体" w:cs="宋体"/>
                <w:color w:val="000000" w:themeColor="text1"/>
                <w:kern w:val="0"/>
                <w:sz w:val="24"/>
                <w14:textFill>
                  <w14:solidFill>
                    <w14:schemeClr w14:val="tx1"/>
                  </w14:solidFill>
                </w14:textFill>
              </w:rPr>
              <w:br w:type="textWrapping"/>
            </w:r>
            <w:r>
              <w:rPr>
                <w:rStyle w:val="15"/>
                <w:rFonts w:hint="default"/>
                <w:color w:val="000000" w:themeColor="text1"/>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FF0000"/>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接地引线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1、ZRBVR90mm2；</w:t>
            </w:r>
            <w:r>
              <w:rPr>
                <w:rFonts w:hint="eastAsia" w:ascii="宋体" w:hAnsi="宋体" w:eastAsia="宋体" w:cs="宋体"/>
                <w:color w:val="000000" w:themeColor="text1"/>
                <w:kern w:val="0"/>
                <w:sz w:val="24"/>
                <w14:textFill>
                  <w14:solidFill>
                    <w14:schemeClr w14:val="tx1"/>
                  </w14:solidFill>
                </w14:textFill>
              </w:rPr>
              <w:br w:type="textWrapping"/>
            </w:r>
            <w:r>
              <w:rPr>
                <w:rStyle w:val="15"/>
                <w:rFonts w:hint="default"/>
                <w:color w:val="000000" w:themeColor="text1"/>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FF0000"/>
                <w:kern w:val="0"/>
                <w:sz w:val="24"/>
              </w:rPr>
            </w:pPr>
          </w:p>
        </w:tc>
      </w:tr>
      <w:tr>
        <w:tblPrEx>
          <w:tblCellMar>
            <w:top w:w="0" w:type="dxa"/>
            <w:left w:w="0" w:type="dxa"/>
            <w:bottom w:w="0" w:type="dxa"/>
            <w:right w:w="0"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辅材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1、定制配套；</w:t>
            </w:r>
            <w:r>
              <w:rPr>
                <w:rFonts w:hint="eastAsia" w:ascii="宋体" w:hAnsi="宋体" w:eastAsia="宋体" w:cs="宋体"/>
                <w:kern w:val="0"/>
                <w:sz w:val="24"/>
              </w:rPr>
              <w:br w:type="textWrapping"/>
            </w:r>
            <w:r>
              <w:rPr>
                <w:rStyle w:val="15"/>
                <w:rFonts w:hint="default"/>
                <w:color w:val="auto"/>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5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四</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电气系统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市电配电柜</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1、定制柜体；</w:t>
            </w:r>
            <w:r>
              <w:rPr>
                <w:rFonts w:hint="eastAsia" w:ascii="宋体" w:hAnsi="宋体" w:eastAsia="宋体" w:cs="宋体"/>
                <w:kern w:val="0"/>
                <w:sz w:val="24"/>
              </w:rPr>
              <w:br w:type="textWrapping"/>
            </w:r>
            <w:r>
              <w:rPr>
                <w:rStyle w:val="15"/>
                <w:rFonts w:hint="default"/>
                <w:color w:val="auto"/>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1台</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墙壁插座</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1、单相五孔；需使用公牛、雷士、TCL等同档次的品牌原厂产品。</w:t>
            </w:r>
            <w:r>
              <w:rPr>
                <w:rFonts w:hint="eastAsia" w:ascii="宋体" w:hAnsi="宋体" w:eastAsia="宋体" w:cs="宋体"/>
                <w:kern w:val="0"/>
                <w:sz w:val="24"/>
              </w:rPr>
              <w:br w:type="textWrapping"/>
            </w:r>
            <w:r>
              <w:rPr>
                <w:rFonts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空调插座</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1、金属地插；需使用松下、雷士、TCL等同档次品牌原厂产品。</w:t>
            </w:r>
            <w:r>
              <w:rPr>
                <w:rFonts w:hint="eastAsia" w:ascii="宋体" w:hAnsi="宋体" w:eastAsia="宋体" w:cs="宋体"/>
                <w:kern w:val="0"/>
                <w:sz w:val="24"/>
              </w:rPr>
              <w:br w:type="textWrapping"/>
            </w:r>
            <w:r>
              <w:rPr>
                <w:rFonts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嵌入式格栅灯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1、600*600mm，LED平板灯；</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FF0000"/>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翘班开关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1、双联；需使用松下、西门子、施耐德等同档次品牌原厂产品。</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5个</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电气配线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1、阻燃铜芯电缆，NH-BV-2.5mm2；</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电气配线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1、阻燃铜芯电缆，ZARVV-3*4mm2；</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电气配线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1、阻燃铜芯电缆，ZARVV-4*4mm2；</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电气配线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1、阻燃铜芯电缆，ZARVV-3*10mm2；</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电气配线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1、阻燃铜芯电缆，ZR-YJV4*25+1*16mm2；</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电气配管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1、KBG20扣压式薄壁钢管，表面热镀锌处理，符合国标要求；</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150</w:t>
            </w:r>
            <w:r>
              <w:rPr>
                <w:rStyle w:val="15"/>
                <w:rFonts w:hint="default"/>
                <w:color w:val="000000" w:themeColor="text1"/>
                <w14:textFill>
                  <w14:solidFill>
                    <w14:schemeClr w14:val="tx1"/>
                  </w14:solidFill>
                </w14:textFill>
              </w:rPr>
              <w:t>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电气配管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KBG25扣压式薄壁钢管，表面热镀锌处理，符合国标要求</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60</w:t>
            </w:r>
            <w:r>
              <w:rPr>
                <w:rStyle w:val="15"/>
                <w:rFonts w:hint="default"/>
                <w:color w:val="000000" w:themeColor="text1"/>
                <w14:textFill>
                  <w14:solidFill>
                    <w14:schemeClr w14:val="tx1"/>
                  </w14:solidFill>
                </w14:textFill>
              </w:rPr>
              <w:t>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工业连接器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三孔16A</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8个</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金属桥架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1、防火阻燃金属桥架；</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38</w:t>
            </w:r>
            <w:r>
              <w:rPr>
                <w:rStyle w:val="15"/>
                <w:rFonts w:hint="default"/>
                <w:color w:val="000000" w:themeColor="text1"/>
                <w14:textFill>
                  <w14:solidFill>
                    <w14:schemeClr w14:val="tx1"/>
                  </w14:solidFill>
                </w14:textFill>
              </w:rPr>
              <w:t>m</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墙柜</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12U</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1个</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综合布线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widowControl/>
              <w:numPr>
                <w:ilvl w:val="0"/>
                <w:numId w:val="5"/>
              </w:numPr>
              <w:ind w:firstLineChars="0"/>
              <w:jc w:val="left"/>
              <w:textAlignment w:val="center"/>
              <w:rPr>
                <w:rFonts w:ascii="宋体" w:hAnsi="宋体" w:eastAsia="宋体" w:cs="宋体"/>
                <w:kern w:val="0"/>
                <w:sz w:val="24"/>
              </w:rPr>
            </w:pPr>
            <w:r>
              <w:rPr>
                <w:rFonts w:hint="eastAsia" w:ascii="宋体" w:hAnsi="宋体" w:eastAsia="宋体" w:cs="宋体"/>
                <w:kern w:val="0"/>
                <w:sz w:val="24"/>
              </w:rPr>
              <w:t>采用六类网线系统</w:t>
            </w:r>
          </w:p>
          <w:p>
            <w:pPr>
              <w:pStyle w:val="16"/>
              <w:widowControl/>
              <w:numPr>
                <w:ilvl w:val="0"/>
                <w:numId w:val="5"/>
              </w:numPr>
              <w:ind w:firstLineChars="0"/>
              <w:jc w:val="left"/>
              <w:textAlignment w:val="center"/>
              <w:rPr>
                <w:rFonts w:ascii="宋体" w:hAnsi="宋体" w:eastAsia="宋体" w:cs="宋体"/>
                <w:kern w:val="0"/>
                <w:sz w:val="24"/>
              </w:rPr>
            </w:pPr>
            <w:r>
              <w:rPr>
                <w:rFonts w:hint="eastAsia" w:ascii="宋体" w:hAnsi="宋体" w:eastAsia="宋体" w:cs="宋体"/>
                <w:kern w:val="0"/>
                <w:sz w:val="24"/>
              </w:rPr>
              <w:t>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辅材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1、定制；</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门禁系统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24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门禁机的技术参数要求及其安装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1、卡容量：30000，记录容量：100000，通讯方式：RS232/485 TCP/IP,考勤速度：﹤0.2秒提供50个时间段，5个分组，10个开门组合，ID卡考勤，密码考勤Wiegand输出，门禁功能，显示屏3寸，含翘班开关；</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23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双门磁力锁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1、工作电压：12VDC</w:t>
            </w:r>
            <w:r>
              <w:rPr>
                <w:rFonts w:hint="eastAsia" w:ascii="宋体" w:hAnsi="宋体" w:eastAsia="宋体" w:cs="宋体"/>
                <w:kern w:val="0"/>
                <w:sz w:val="24"/>
              </w:rPr>
              <w:br w:type="textWrapping"/>
            </w:r>
            <w:r>
              <w:rPr>
                <w:rFonts w:hint="eastAsia" w:ascii="宋体" w:hAnsi="宋体" w:eastAsia="宋体" w:cs="宋体"/>
                <w:kern w:val="0"/>
                <w:sz w:val="24"/>
              </w:rPr>
              <w:t>2、符合公安消防要求，断电即开锁；</w:t>
            </w:r>
            <w:r>
              <w:rPr>
                <w:rFonts w:hint="eastAsia" w:ascii="宋体" w:hAnsi="宋体" w:eastAsia="宋体" w:cs="宋体"/>
                <w:kern w:val="0"/>
                <w:sz w:val="24"/>
              </w:rPr>
              <w:br w:type="textWrapping"/>
            </w:r>
            <w:r>
              <w:rPr>
                <w:rFonts w:hint="eastAsia" w:ascii="宋体" w:hAnsi="宋体" w:eastAsia="宋体" w:cs="宋体"/>
                <w:kern w:val="0"/>
                <w:sz w:val="24"/>
              </w:rPr>
              <w:t>3、断电后，无剩磁；</w:t>
            </w:r>
            <w:r>
              <w:rPr>
                <w:rFonts w:hint="eastAsia" w:ascii="宋体" w:hAnsi="宋体" w:eastAsia="宋体" w:cs="宋体"/>
                <w:kern w:val="0"/>
                <w:sz w:val="24"/>
              </w:rPr>
              <w:br w:type="textWrapping"/>
            </w:r>
            <w:r>
              <w:rPr>
                <w:rFonts w:hint="eastAsia" w:ascii="宋体" w:hAnsi="宋体" w:eastAsia="宋体" w:cs="宋体"/>
                <w:kern w:val="0"/>
                <w:sz w:val="24"/>
              </w:rPr>
              <w:t>4、耗电量低；</w:t>
            </w:r>
            <w:r>
              <w:rPr>
                <w:rFonts w:hint="eastAsia" w:ascii="宋体" w:hAnsi="宋体" w:eastAsia="宋体" w:cs="宋体"/>
                <w:kern w:val="0"/>
                <w:sz w:val="24"/>
              </w:rPr>
              <w:br w:type="textWrapping"/>
            </w:r>
            <w:r>
              <w:rPr>
                <w:rFonts w:hint="eastAsia" w:ascii="宋体" w:hAnsi="宋体" w:eastAsia="宋体" w:cs="宋体"/>
                <w:kern w:val="0"/>
                <w:sz w:val="24"/>
              </w:rPr>
              <w:t>5、防腐蚀，锁体经过特殊防锈处理，含支架；</w:t>
            </w:r>
            <w:r>
              <w:rPr>
                <w:rFonts w:hint="eastAsia" w:ascii="宋体" w:hAnsi="宋体" w:eastAsia="宋体" w:cs="宋体"/>
                <w:kern w:val="0"/>
                <w:sz w:val="24"/>
              </w:rPr>
              <w:br w:type="textWrapping"/>
            </w:r>
            <w:r>
              <w:rPr>
                <w:rFonts w:hint="eastAsia" w:ascii="宋体" w:hAnsi="宋体" w:eastAsia="宋体" w:cs="宋体"/>
                <w:kern w:val="0"/>
                <w:sz w:val="24"/>
              </w:rPr>
              <w:t>6、具体内容详见图纸。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12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门禁专用电源</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1、12V带常开、常闭、延时；</w:t>
            </w:r>
            <w:r>
              <w:rPr>
                <w:rFonts w:hint="eastAsia" w:ascii="宋体" w:hAnsi="宋体" w:eastAsia="宋体" w:cs="宋体"/>
                <w:kern w:val="0"/>
                <w:sz w:val="24"/>
              </w:rPr>
              <w:br w:type="textWrapping"/>
            </w:r>
            <w:r>
              <w:rPr>
                <w:rFonts w:hint="eastAsia" w:ascii="宋体" w:hAnsi="宋体" w:eastAsia="宋体" w:cs="宋体"/>
                <w:kern w:val="0"/>
                <w:sz w:val="24"/>
              </w:rPr>
              <w:t>2、输入：AC100-240V；</w:t>
            </w:r>
            <w:r>
              <w:rPr>
                <w:rFonts w:hint="eastAsia" w:ascii="宋体" w:hAnsi="宋体" w:eastAsia="宋体" w:cs="宋体"/>
                <w:kern w:val="0"/>
                <w:sz w:val="24"/>
              </w:rPr>
              <w:br w:type="textWrapping"/>
            </w:r>
            <w:r>
              <w:rPr>
                <w:rFonts w:hint="eastAsia" w:ascii="宋体" w:hAnsi="宋体" w:eastAsia="宋体" w:cs="宋体"/>
                <w:kern w:val="0"/>
                <w:sz w:val="24"/>
              </w:rPr>
              <w:t>3、输出：DC12V/5A；</w:t>
            </w:r>
            <w:r>
              <w:rPr>
                <w:rFonts w:hint="eastAsia" w:ascii="宋体" w:hAnsi="宋体" w:eastAsia="宋体" w:cs="宋体"/>
                <w:kern w:val="0"/>
                <w:sz w:val="24"/>
              </w:rPr>
              <w:br w:type="textWrapping"/>
            </w:r>
            <w:r>
              <w:rPr>
                <w:rFonts w:hint="eastAsia" w:ascii="宋体" w:hAnsi="宋体" w:eastAsia="宋体" w:cs="宋体"/>
                <w:kern w:val="0"/>
                <w:sz w:val="24"/>
              </w:rPr>
              <w:t>4、具体内容详见图纸。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卡</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1、ID卡，配合门禁机使用；</w:t>
            </w:r>
            <w:r>
              <w:rPr>
                <w:rFonts w:hint="eastAsia" w:ascii="宋体" w:hAnsi="宋体" w:eastAsia="宋体" w:cs="宋体"/>
                <w:kern w:val="0"/>
                <w:sz w:val="24"/>
              </w:rPr>
              <w:br w:type="textWrapping"/>
            </w:r>
            <w:r>
              <w:rPr>
                <w:rFonts w:hint="eastAsia" w:ascii="宋体" w:hAnsi="宋体" w:eastAsia="宋体" w:cs="宋体"/>
                <w:kern w:val="0"/>
                <w:sz w:val="24"/>
              </w:rPr>
              <w:t>2、具体内容详见图纸。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5张</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7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六</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动力环境监控系统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r>
              <w:rPr>
                <w:rFonts w:ascii="宋体" w:hAnsi="宋体" w:eastAsia="宋体" w:cs="宋体"/>
                <w:sz w:val="24"/>
              </w:rPr>
              <w:t>含线缆敷设</w:t>
            </w:r>
            <w:r>
              <w:rPr>
                <w:rFonts w:hint="eastAsia" w:ascii="宋体" w:hAnsi="宋体" w:eastAsia="宋体" w:cs="宋体"/>
                <w:sz w:val="24"/>
              </w:rPr>
              <w:t>，</w:t>
            </w:r>
            <w:r>
              <w:rPr>
                <w:rFonts w:ascii="宋体" w:hAnsi="宋体" w:eastAsia="宋体" w:cs="宋体"/>
                <w:sz w:val="24"/>
              </w:rPr>
              <w:t>不含设备详见图纸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r>
              <w:rPr>
                <w:rFonts w:hint="eastAsia" w:ascii="宋体" w:hAnsi="宋体" w:eastAsia="宋体" w:cs="宋体"/>
                <w:sz w:val="24"/>
              </w:rPr>
              <w:t>1项</w:t>
            </w: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3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监控系统</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eastAsia="宋体" w:cs="宋体"/>
                <w:kern w:val="0"/>
                <w:sz w:val="24"/>
              </w:rPr>
            </w:pPr>
            <w:r>
              <w:rPr>
                <w:rFonts w:hint="eastAsia" w:ascii="宋体" w:hAnsi="宋体" w:eastAsia="宋体" w:cs="宋体"/>
                <w:kern w:val="0"/>
                <w:sz w:val="24"/>
              </w:rPr>
              <w:t>工作内容：满足系统设备连接所需的接头、配件等设备安装，参照低压配电装置及线路设计规范（GBJ54-83）；民用建筑电气设计规范（JCJ/T16-9F210）；电气装置安装工程接地装置施工及验收规范（GB50169-92）；公安部；计算机信息系统实体安全技术要求（GA371-2001）；</w:t>
            </w:r>
          </w:p>
          <w:p>
            <w:pPr>
              <w:widowControl/>
              <w:numPr>
                <w:ilvl w:val="0"/>
                <w:numId w:val="6"/>
              </w:numPr>
              <w:jc w:val="left"/>
              <w:textAlignment w:val="center"/>
              <w:rPr>
                <w:rFonts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机房监控设备6个，存储要求满足一个半月，显示屏为22.5寸。</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3、具体内容详见图纸。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1套</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4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七</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现有设备搬迁调试</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98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4"/>
              </w:rPr>
            </w:pPr>
          </w:p>
        </w:tc>
      </w:tr>
      <w:tr>
        <w:tblPrEx>
          <w:tblCellMar>
            <w:top w:w="0" w:type="dxa"/>
            <w:left w:w="0" w:type="dxa"/>
            <w:bottom w:w="0" w:type="dxa"/>
            <w:right w:w="0" w:type="dxa"/>
          </w:tblCellMar>
        </w:tblPrEx>
        <w:trPr>
          <w:trHeight w:val="2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现有设备搬迁调试</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eastAsia="宋体" w:cs="宋体"/>
                <w:kern w:val="0"/>
                <w:sz w:val="24"/>
              </w:rPr>
            </w:pPr>
            <w:r>
              <w:rPr>
                <w:rFonts w:hint="eastAsia" w:ascii="宋体" w:hAnsi="宋体" w:eastAsia="宋体" w:cs="宋体"/>
                <w:kern w:val="0"/>
                <w:sz w:val="24"/>
              </w:rPr>
              <w:t>现有设备品牌有：山石网科、绿盟、锐捷、H3C、深信服、金盾、中兴、伟思、东软、惠普、华为，由于设备搬迁，内外网需要重新规划，涉及到的各个网络及安全厂家设备的安装调试，施工方自行解决。（预计搬迁调试最长时间为五个工作日）；</w:t>
            </w:r>
          </w:p>
          <w:p>
            <w:pPr>
              <w:widowControl/>
              <w:numPr>
                <w:ilvl w:val="0"/>
                <w:numId w:val="7"/>
              </w:numPr>
              <w:jc w:val="left"/>
              <w:textAlignment w:val="center"/>
              <w:rPr>
                <w:rFonts w:ascii="宋体" w:hAnsi="宋体" w:eastAsia="宋体" w:cs="宋体"/>
                <w:sz w:val="24"/>
              </w:rPr>
            </w:pPr>
            <w:r>
              <w:rPr>
                <w:rFonts w:hint="eastAsia" w:ascii="宋体" w:hAnsi="宋体" w:eastAsia="宋体" w:cs="宋体"/>
                <w:kern w:val="0"/>
                <w:sz w:val="24"/>
              </w:rPr>
              <w:t>一年内免费上门维护。</w:t>
            </w:r>
            <w:r>
              <w:rPr>
                <w:rFonts w:hint="eastAsia" w:ascii="宋体" w:hAnsi="宋体" w:eastAsia="宋体" w:cs="宋体"/>
                <w:kern w:val="0"/>
                <w:sz w:val="24"/>
              </w:rPr>
              <w:br w:type="textWrapping"/>
            </w:r>
            <w:r>
              <w:rPr>
                <w:rFonts w:hint="eastAsia" w:ascii="宋体" w:hAnsi="宋体" w:eastAsia="宋体" w:cs="宋体"/>
                <w:kern w:val="0"/>
                <w:sz w:val="24"/>
              </w:rPr>
              <w:t>3、具体内容详见图纸。</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720" w:firstLineChars="300"/>
              <w:jc w:val="left"/>
              <w:textAlignment w:val="center"/>
              <w:rPr>
                <w:rFonts w:ascii="宋体" w:hAnsi="宋体" w:eastAsia="宋体" w:cs="宋体"/>
                <w:kern w:val="0"/>
                <w:sz w:val="24"/>
              </w:rPr>
            </w:pPr>
            <w:r>
              <w:rPr>
                <w:rFonts w:hint="eastAsia" w:ascii="宋体" w:hAnsi="宋体" w:eastAsia="宋体" w:cs="宋体"/>
                <w:kern w:val="0"/>
                <w:sz w:val="24"/>
              </w:rPr>
              <w:t>线路放线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现有设备搬迁之后的配套线路的放线。要求光纤点对点楼层到机房。具体参考现场情况,光缆采用TA-12B。</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6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电话线进机房改造</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spacing w:line="240" w:lineRule="atLeast"/>
              <w:ind w:firstLine="0"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详见招标公告附件（三）</w:t>
            </w:r>
          </w:p>
          <w:p>
            <w:pPr>
              <w:pStyle w:val="16"/>
              <w:spacing w:line="240" w:lineRule="atLeast"/>
              <w:ind w:firstLine="0" w:firstLineChars="0"/>
              <w:rPr>
                <w:rFonts w:ascii="宋体" w:hAnsi="宋体" w:eastAsia="宋体" w:cs="宋体"/>
                <w:color w:val="000000" w:themeColor="text1"/>
                <w:kern w:val="0"/>
                <w:sz w:val="24"/>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旧空调拆卸和安装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kern w:val="0"/>
                <w:sz w:val="24"/>
                <w:lang w:val="en-US" w:eastAsia="zh-CN"/>
              </w:rPr>
            </w:pPr>
            <w:r>
              <w:rPr>
                <w:rFonts w:hint="eastAsia" w:ascii="宋体" w:hAnsi="宋体" w:eastAsia="宋体" w:cs="宋体"/>
                <w:kern w:val="0"/>
                <w:sz w:val="24"/>
                <w:lang w:eastAsia="zh-CN"/>
              </w:rPr>
              <w:t>新机房施工场地中的</w:t>
            </w:r>
            <w:r>
              <w:rPr>
                <w:rFonts w:hint="eastAsia" w:ascii="宋体" w:hAnsi="宋体" w:eastAsia="宋体" w:cs="宋体"/>
                <w:kern w:val="0"/>
                <w:sz w:val="24"/>
                <w:lang w:val="en-US" w:eastAsia="zh-CN"/>
              </w:rPr>
              <w:t>3台旧空调的拆卸和安装</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1项</w:t>
            </w: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r>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总计金额</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p>
        </w:tc>
        <w:tc>
          <w:tcPr>
            <w:tcW w:w="98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4"/>
              </w:rPr>
            </w:pPr>
          </w:p>
        </w:tc>
      </w:tr>
    </w:tbl>
    <w:p>
      <w:pPr>
        <w:tabs>
          <w:tab w:val="left" w:pos="11010"/>
        </w:tabs>
        <w:spacing w:before="62" w:beforeLines="20" w:after="62" w:afterLines="20" w:line="360" w:lineRule="auto"/>
        <w:jc w:val="left"/>
        <w:rPr>
          <w:rFonts w:cs="宋体"/>
          <w:sz w:val="28"/>
          <w:szCs w:val="28"/>
        </w:rPr>
      </w:pPr>
      <w:r>
        <w:rPr>
          <w:rFonts w:hint="eastAsia" w:ascii="宋体" w:hAnsi="宋体"/>
          <w:b/>
          <w:color w:val="000000" w:themeColor="text1"/>
          <w:kern w:val="0"/>
          <w:sz w:val="28"/>
          <w:szCs w:val="28"/>
          <w14:textFill>
            <w14:solidFill>
              <w14:schemeClr w14:val="tx1"/>
            </w14:solidFill>
          </w14:textFill>
        </w:rPr>
        <w:t>注：中标人需完成分项报价表中的所有内容以及招标附件图纸中工作任务（UPS、电池、空调、机柜含配套PDU连接器等、动力环境系统设备除外）。</w:t>
      </w:r>
    </w:p>
    <w:p>
      <w:pPr>
        <w:rPr>
          <w:rFonts w:ascii="宋体" w:hAnsi="宋体" w:eastAsia="宋体"/>
          <w:b/>
          <w:sz w:val="28"/>
          <w:szCs w:val="28"/>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CE4"/>
    <w:multiLevelType w:val="multilevel"/>
    <w:tmpl w:val="26746C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3D4FD2"/>
    <w:multiLevelType w:val="singleLevel"/>
    <w:tmpl w:val="283D4FD2"/>
    <w:lvl w:ilvl="0" w:tentative="0">
      <w:start w:val="5"/>
      <w:numFmt w:val="chineseCounting"/>
      <w:suff w:val="nothing"/>
      <w:lvlText w:val="（%1）"/>
      <w:lvlJc w:val="left"/>
      <w:rPr>
        <w:rFonts w:hint="eastAsia"/>
      </w:rPr>
    </w:lvl>
  </w:abstractNum>
  <w:abstractNum w:abstractNumId="2">
    <w:nsid w:val="312CEA8E"/>
    <w:multiLevelType w:val="singleLevel"/>
    <w:tmpl w:val="312CEA8E"/>
    <w:lvl w:ilvl="0" w:tentative="0">
      <w:start w:val="1"/>
      <w:numFmt w:val="decimal"/>
      <w:suff w:val="nothing"/>
      <w:lvlText w:val="%1、"/>
      <w:lvlJc w:val="left"/>
    </w:lvl>
  </w:abstractNum>
  <w:abstractNum w:abstractNumId="3">
    <w:nsid w:val="433C0914"/>
    <w:multiLevelType w:val="multilevel"/>
    <w:tmpl w:val="433C09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7C8423"/>
    <w:multiLevelType w:val="singleLevel"/>
    <w:tmpl w:val="4D7C8423"/>
    <w:lvl w:ilvl="0" w:tentative="0">
      <w:start w:val="1"/>
      <w:numFmt w:val="decimal"/>
      <w:suff w:val="nothing"/>
      <w:lvlText w:val="%1、"/>
      <w:lvlJc w:val="left"/>
    </w:lvl>
  </w:abstractNum>
  <w:abstractNum w:abstractNumId="5">
    <w:nsid w:val="7AF25AD3"/>
    <w:multiLevelType w:val="singleLevel"/>
    <w:tmpl w:val="7AF25AD3"/>
    <w:lvl w:ilvl="0" w:tentative="0">
      <w:start w:val="1"/>
      <w:numFmt w:val="decimal"/>
      <w:suff w:val="nothing"/>
      <w:lvlText w:val="%1、"/>
      <w:lvlJc w:val="left"/>
    </w:lvl>
  </w:abstractNum>
  <w:abstractNum w:abstractNumId="6">
    <w:nsid w:val="7F740DEC"/>
    <w:multiLevelType w:val="singleLevel"/>
    <w:tmpl w:val="7F740DEC"/>
    <w:lvl w:ilvl="0" w:tentative="0">
      <w:start w:val="1"/>
      <w:numFmt w:val="decimal"/>
      <w:suff w:val="nothing"/>
      <w:lvlText w:val="%1、"/>
      <w:lvlJc w:val="left"/>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235B9C"/>
    <w:rsid w:val="003561D1"/>
    <w:rsid w:val="00400712"/>
    <w:rsid w:val="004102FE"/>
    <w:rsid w:val="0041105C"/>
    <w:rsid w:val="00411539"/>
    <w:rsid w:val="004C591E"/>
    <w:rsid w:val="005F02BA"/>
    <w:rsid w:val="00645AB6"/>
    <w:rsid w:val="006769AE"/>
    <w:rsid w:val="007452C6"/>
    <w:rsid w:val="00946F95"/>
    <w:rsid w:val="00A521A9"/>
    <w:rsid w:val="00C54CA6"/>
    <w:rsid w:val="00D27B90"/>
    <w:rsid w:val="00DA4537"/>
    <w:rsid w:val="00EE0E39"/>
    <w:rsid w:val="00F274A9"/>
    <w:rsid w:val="00F62B07"/>
    <w:rsid w:val="03231028"/>
    <w:rsid w:val="1C9E768F"/>
    <w:rsid w:val="20D35B4F"/>
    <w:rsid w:val="21924350"/>
    <w:rsid w:val="264C529E"/>
    <w:rsid w:val="2EA824B0"/>
    <w:rsid w:val="3DDF3BD1"/>
    <w:rsid w:val="42C5233C"/>
    <w:rsid w:val="43833BF1"/>
    <w:rsid w:val="461352C2"/>
    <w:rsid w:val="562A5A3C"/>
    <w:rsid w:val="5946404C"/>
    <w:rsid w:val="5D7F01E0"/>
    <w:rsid w:val="73F12E39"/>
    <w:rsid w:val="78643C41"/>
    <w:rsid w:val="78D8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spacing w:before="260" w:after="260" w:line="415" w:lineRule="auto"/>
      <w:outlineLvl w:val="2"/>
    </w:pPr>
    <w:rPr>
      <w:b/>
      <w:sz w:val="32"/>
      <w:szCs w:val="2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6">
    <w:name w:val="annotation text"/>
    <w:basedOn w:val="1"/>
    <w:semiHidden/>
    <w:qFormat/>
    <w:uiPriority w:val="0"/>
    <w:pPr>
      <w:jc w:val="left"/>
    </w:pPr>
    <w:rPr>
      <w:szCs w:val="20"/>
    </w:rPr>
  </w:style>
  <w:style w:type="paragraph" w:styleId="7">
    <w:name w:val="Body Text Indent"/>
    <w:basedOn w:val="1"/>
    <w:qFormat/>
    <w:uiPriority w:val="0"/>
    <w:pPr>
      <w:ind w:left="630"/>
    </w:pPr>
    <w:rPr>
      <w:rFonts w:ascii="仿宋_GB2312" w:eastAsia="仿宋_GB2312"/>
      <w:sz w:val="32"/>
      <w:szCs w:val="20"/>
    </w:rPr>
  </w:style>
  <w:style w:type="paragraph" w:styleId="8">
    <w:name w:val="List Continue"/>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line="560" w:lineRule="exact"/>
      <w:ind w:left="735" w:leftChars="350"/>
    </w:pPr>
    <w:rPr>
      <w:rFonts w:eastAsia="仿宋_GB2312"/>
      <w:sz w:val="32"/>
      <w:szCs w:val="20"/>
    </w:rPr>
  </w:style>
  <w:style w:type="paragraph" w:styleId="12">
    <w:name w:val="Body Text 2"/>
    <w:basedOn w:val="1"/>
    <w:qFormat/>
    <w:uiPriority w:val="99"/>
    <w:pPr>
      <w:jc w:val="center"/>
    </w:pPr>
    <w:rPr>
      <w:rFonts w:ascii="Times New Roman" w:hAnsi="Times New Roman" w:cs="Times New Roman"/>
      <w:sz w:val="28"/>
      <w:szCs w:val="28"/>
    </w:rPr>
  </w:style>
  <w:style w:type="character" w:customStyle="1" w:styleId="15">
    <w:name w:val="font01"/>
    <w:basedOn w:val="14"/>
    <w:qFormat/>
    <w:uiPriority w:val="0"/>
    <w:rPr>
      <w:rFonts w:hint="eastAsia" w:ascii="宋体" w:hAnsi="宋体" w:eastAsia="宋体" w:cs="宋体"/>
      <w:color w:val="000000"/>
      <w:sz w:val="24"/>
      <w:szCs w:val="24"/>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1393</Words>
  <Characters>7941</Characters>
  <Lines>66</Lines>
  <Paragraphs>18</Paragraphs>
  <TotalTime>76</TotalTime>
  <ScaleCrop>false</ScaleCrop>
  <LinksUpToDate>false</LinksUpToDate>
  <CharactersWithSpaces>9316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2020-11-04T00:24:00Z</dcterms:created>
  <dc:creator>影风</dc:creator>
  <cp:lastModifiedBy>影风</cp:lastModifiedBy>
  <dcterms:modified xsi:type="dcterms:W3CDTF">2020-11-07T02:06:34Z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