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经颅直流电刺激仪招标</w:t>
      </w:r>
      <w:r>
        <w:rPr>
          <w:rFonts w:hint="eastAsia" w:asciiTheme="minorEastAsia" w:hAnsiTheme="minorEastAsia" w:eastAsiaTheme="minorEastAsia" w:cstheme="minorEastAsia"/>
          <w:b/>
          <w:bCs/>
          <w:sz w:val="28"/>
          <w:szCs w:val="28"/>
        </w:rPr>
        <w:t>采购</w:t>
      </w:r>
      <w:r>
        <w:rPr>
          <w:rFonts w:hint="eastAsia" w:asciiTheme="minorEastAsia" w:hAnsiTheme="minorEastAsia" w:eastAsiaTheme="minorEastAsia" w:cstheme="minorEastAsia"/>
          <w:b/>
          <w:bCs/>
          <w:sz w:val="28"/>
          <w:szCs w:val="28"/>
          <w:lang w:eastAsia="zh-CN"/>
        </w:rPr>
        <w:t>文件</w:t>
      </w:r>
    </w:p>
    <w:p>
      <w:pPr>
        <w:keepNext w:val="0"/>
        <w:keepLines w:val="0"/>
        <w:pageBreakBefore w:val="0"/>
        <w:kinsoku/>
        <w:wordWrap/>
        <w:overflowPunct/>
        <w:topLinePunct w:val="0"/>
        <w:bidi w:val="0"/>
        <w:snapToGrid w:val="0"/>
        <w:spacing w:beforeAutospacing="0" w:afterAutospacing="0" w:line="360" w:lineRule="auto"/>
        <w:ind w:left="3730" w:leftChars="981" w:hanging="1670" w:hangingChars="5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lang w:eastAsia="zh-CN"/>
        </w:rPr>
        <w:t>经颅直流电刺激仪</w:t>
      </w:r>
      <w:r>
        <w:rPr>
          <w:rFonts w:hint="eastAsia" w:asciiTheme="minorEastAsia" w:hAnsiTheme="minorEastAsia" w:eastAsiaTheme="minorEastAsia" w:cstheme="minorEastAsia"/>
          <w:sz w:val="28"/>
          <w:szCs w:val="28"/>
          <w:lang w:val="en-US" w:eastAsia="zh-CN"/>
        </w:rPr>
        <w:t>设备采购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w:t>
      </w:r>
      <w:r>
        <w:rPr>
          <w:rFonts w:hint="eastAsia" w:asciiTheme="minorEastAsia" w:hAnsiTheme="minorEastAsia" w:eastAsiaTheme="minorEastAsia" w:cstheme="minorEastAsia"/>
          <w:color w:val="FF0000"/>
          <w:sz w:val="28"/>
          <w:szCs w:val="28"/>
        </w:rPr>
        <w:t>202</w:t>
      </w:r>
      <w:r>
        <w:rPr>
          <w:rFonts w:hint="eastAsia" w:asciiTheme="minorEastAsia" w:hAnsiTheme="minorEastAsia" w:eastAsiaTheme="minorEastAsia" w:cstheme="minorEastAsia"/>
          <w:color w:val="FF0000"/>
          <w:sz w:val="28"/>
          <w:szCs w:val="28"/>
          <w:lang w:val="en-US" w:eastAsia="zh-CN"/>
        </w:rPr>
        <w:t>11021</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lang w:eastAsia="zh-CN"/>
        </w:rPr>
        <w:t>经颅直流电刺激仪</w:t>
      </w:r>
      <w:r>
        <w:rPr>
          <w:rFonts w:hint="eastAsia" w:asciiTheme="minorEastAsia" w:hAnsiTheme="minorEastAsia" w:eastAsiaTheme="minorEastAsia" w:cstheme="minorEastAsia"/>
          <w:sz w:val="28"/>
          <w:szCs w:val="28"/>
          <w:lang w:val="en-US" w:eastAsia="zh-CN"/>
        </w:rPr>
        <w:t>设备采购</w:t>
      </w:r>
      <w:r>
        <w:rPr>
          <w:rFonts w:hint="eastAsia" w:ascii="宋体" w:hAnsi="宋体"/>
          <w:sz w:val="28"/>
          <w:szCs w:val="28"/>
          <w:lang w:val="en-US" w:eastAsia="zh-CN"/>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投标人资格</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标采购设备的生产许可证</w:t>
      </w:r>
      <w:r>
        <w:rPr>
          <w:rFonts w:hint="eastAsia" w:asciiTheme="minorEastAsia" w:hAnsiTheme="minorEastAsia" w:eastAsiaTheme="minorEastAsia" w:cstheme="minorEastAsia"/>
          <w:sz w:val="28"/>
          <w:szCs w:val="28"/>
          <w:lang w:eastAsia="zh-CN"/>
        </w:rPr>
        <w:t>、《医疗器械经营许可证》；</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须有</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生产厂家授权经销证明</w:t>
      </w:r>
      <w:r>
        <w:rPr>
          <w:rFonts w:hint="eastAsia" w:asciiTheme="minorEastAsia" w:hAnsiTheme="minorEastAsia" w:eastAsiaTheme="minorEastAsia" w:cstheme="minorEastAsia"/>
          <w:sz w:val="28"/>
          <w:szCs w:val="28"/>
          <w:lang w:eastAsia="zh-CN"/>
        </w:rPr>
        <w:t>以及《医疗器械经营许可证》</w:t>
      </w:r>
      <w:r>
        <w:rPr>
          <w:rFonts w:hint="eastAsia" w:asciiTheme="minorEastAsia" w:hAnsiTheme="minorEastAsia" w:eastAsiaTheme="minorEastAsia" w:cstheme="minorEastAsia"/>
          <w:sz w:val="28"/>
          <w:szCs w:val="28"/>
        </w:rPr>
        <w:t>。</w:t>
      </w:r>
    </w:p>
    <w:p>
      <w:pPr>
        <w:keepNext w:val="0"/>
        <w:keepLines w:val="0"/>
        <w:pageBreakBefore w:val="0"/>
        <w:numPr>
          <w:ilvl w:val="0"/>
          <w:numId w:val="1"/>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投标人须在近两年内参与的项目中，没有因违规、违纪受到处</w:t>
      </w:r>
    </w:p>
    <w:p>
      <w:pPr>
        <w:keepNext w:val="0"/>
        <w:keepLines w:val="0"/>
        <w:pageBreakBefore w:val="0"/>
        <w:numPr>
          <w:ilvl w:val="0"/>
          <w:numId w:val="0"/>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投标人需缴纳投标保证金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auto"/>
          <w:sz w:val="28"/>
          <w:szCs w:val="28"/>
          <w:lang w:val="en-US" w:eastAsia="zh-CN"/>
        </w:rPr>
        <w:t>000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w:t>
      </w:r>
      <w:r>
        <w:rPr>
          <w:rFonts w:hint="eastAsia" w:cs="宋体"/>
          <w:color w:val="000000" w:themeColor="text1"/>
          <w:sz w:val="28"/>
          <w:szCs w:val="28"/>
          <w:lang w:eastAsia="zh-CN"/>
          <w14:textFill>
            <w14:solidFill>
              <w14:schemeClr w14:val="tx1"/>
            </w14:solidFill>
          </w14:textFill>
        </w:rPr>
        <w:t>投标保证金以现金方式在</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开标现场缴纳。如在投标截止前投标人未交纳投标保证金的，将拒收</w:t>
      </w:r>
    </w:p>
    <w:p>
      <w:pPr>
        <w:snapToGrid w:val="0"/>
        <w:spacing w:line="360" w:lineRule="auto"/>
        <w:jc w:val="left"/>
        <w:rPr>
          <w:rFonts w:hint="eastAsia" w:ascii="宋体" w:hAnsi="宋体" w:cs="宋体"/>
          <w:sz w:val="28"/>
          <w:szCs w:val="28"/>
        </w:rPr>
      </w:pPr>
      <w:r>
        <w:rPr>
          <w:rFonts w:hint="eastAsia" w:cs="宋体"/>
          <w:color w:val="000000" w:themeColor="text1"/>
          <w:sz w:val="28"/>
          <w:szCs w:val="28"/>
          <w:lang w:eastAsia="zh-CN"/>
          <w14:textFill>
            <w14:solidFill>
              <w14:schemeClr w14:val="tx1"/>
            </w14:solidFill>
          </w14:textFill>
        </w:rPr>
        <w:t>其投标文件。</w:t>
      </w:r>
      <w:r>
        <w:rPr>
          <w:rFonts w:hint="eastAsia" w:ascii="宋体" w:hAnsi="宋体" w:cs="宋体"/>
          <w:sz w:val="28"/>
          <w:szCs w:val="28"/>
        </w:rPr>
        <w:t>未中标单位保证金在定标后无息退还。</w:t>
      </w:r>
      <w:r>
        <w:rPr>
          <w:rFonts w:hint="eastAsia" w:ascii="宋体" w:hAnsi="宋体" w:cs="宋体"/>
          <w:sz w:val="28"/>
          <w:szCs w:val="28"/>
          <w:lang w:eastAsia="zh-CN"/>
        </w:rPr>
        <w:t>拟</w:t>
      </w:r>
      <w:r>
        <w:rPr>
          <w:rFonts w:hint="eastAsia" w:ascii="宋体" w:hAnsi="宋体" w:cs="宋体"/>
          <w:sz w:val="28"/>
          <w:szCs w:val="28"/>
        </w:rPr>
        <w:t>中标</w:t>
      </w:r>
      <w:r>
        <w:rPr>
          <w:rFonts w:hint="eastAsia" w:ascii="宋体" w:hAnsi="宋体" w:cs="宋体"/>
          <w:sz w:val="28"/>
          <w:szCs w:val="28"/>
          <w:lang w:eastAsia="zh-CN"/>
        </w:rPr>
        <w:t>单</w:t>
      </w:r>
      <w:r>
        <w:rPr>
          <w:rFonts w:hint="eastAsia" w:ascii="宋体" w:hAnsi="宋体" w:cs="宋体"/>
          <w:sz w:val="28"/>
          <w:szCs w:val="28"/>
        </w:rPr>
        <w:t>位的投</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宋体" w:hAnsi="宋体" w:cs="宋体"/>
          <w:sz w:val="28"/>
          <w:szCs w:val="28"/>
        </w:rPr>
        <w:t>标保证金在履约保证金足额缴纳后无息退还。</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cs="宋体"/>
          <w:color w:val="000000" w:themeColor="text1"/>
          <w:sz w:val="28"/>
          <w:szCs w:val="28"/>
          <w14:textFill>
            <w14:solidFill>
              <w14:schemeClr w14:val="tx1"/>
            </w14:solidFill>
          </w14:textFill>
        </w:rPr>
        <w:t>投标截止后投标人撤销投标文件的以及投标人中标后拒绝签订合同</w:t>
      </w:r>
      <w:r>
        <w:rPr>
          <w:rFonts w:hint="eastAsia" w:cs="宋体"/>
          <w:color w:val="000000" w:themeColor="text1"/>
          <w:sz w:val="28"/>
          <w:szCs w:val="28"/>
          <w:lang w:eastAsia="zh-CN"/>
          <w14:textFill>
            <w14:solidFill>
              <w14:schemeClr w14:val="tx1"/>
            </w14:solidFill>
          </w14:textFill>
        </w:rPr>
        <w:t>、放弃中标</w:t>
      </w:r>
      <w:r>
        <w:rPr>
          <w:rFonts w:hint="eastAsia" w:cs="宋体"/>
          <w:color w:val="000000" w:themeColor="text1"/>
          <w:sz w:val="28"/>
          <w:szCs w:val="28"/>
          <w14:textFill>
            <w14:solidFill>
              <w14:schemeClr w14:val="tx1"/>
            </w14:solidFill>
          </w14:textFill>
        </w:rPr>
        <w:t>的，投标保证金不予退还。</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中标人须以现金缴纳2000元中标服务费。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八、履约保证金</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中标单位应于接到中标通知书后的5日内向招标人指定账户打入成</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交金额10%的履约金，并在15个工作日内签订采购合同，若中标单</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位未在规定时间内缴纳履约保证金，并无正当理由的视为自动放弃中</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标资格。</w:t>
      </w:r>
    </w:p>
    <w:p>
      <w:pPr>
        <w:pStyle w:val="2"/>
        <w:numPr>
          <w:ilvl w:val="0"/>
          <w:numId w:val="2"/>
        </w:numPr>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报名方式与报名截止时间</w:t>
      </w:r>
    </w:p>
    <w:p>
      <w:pPr>
        <w:pStyle w:val="2"/>
        <w:numPr>
          <w:ilvl w:val="0"/>
          <w:numId w:val="0"/>
        </w:numPr>
        <w:ind w:left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采取网上报名，于2021年10月20日下午17：00前，将投标单位的营业执照影印件、单位联系方式通过电子邮件形式发送至邮箱2295829959 @QQ.com</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、招标时间安排</w:t>
      </w:r>
    </w:p>
    <w:p>
      <w:pPr>
        <w:snapToGrid w:val="0"/>
        <w:spacing w:line="360" w:lineRule="auto"/>
        <w:ind w:left="0" w:leftChars="0" w:firstLine="0" w:firstLineChars="0"/>
        <w:jc w:val="left"/>
        <w:rPr>
          <w:rFonts w:hint="default" w:eastAsia="宋体"/>
          <w:color w:val="FF0000"/>
          <w:sz w:val="28"/>
          <w:szCs w:val="28"/>
          <w:lang w:val="en-US" w:eastAsia="zh-CN"/>
        </w:rPr>
      </w:pPr>
      <w:r>
        <w:rPr>
          <w:rFonts w:hint="eastAsia" w:cs="宋体"/>
          <w:color w:val="000000" w:themeColor="text1"/>
          <w:sz w:val="28"/>
          <w:szCs w:val="28"/>
          <w14:textFill>
            <w14:solidFill>
              <w14:schemeClr w14:val="tx1"/>
            </w14:solidFill>
          </w14:textFill>
        </w:rPr>
        <w:t>（一）开标时间：</w:t>
      </w:r>
      <w:r>
        <w:rPr>
          <w:color w:val="FF0000"/>
          <w:sz w:val="28"/>
          <w:szCs w:val="28"/>
        </w:rPr>
        <w:t>202</w:t>
      </w:r>
      <w:r>
        <w:rPr>
          <w:rFonts w:hint="eastAsia"/>
          <w:color w:val="FF0000"/>
          <w:sz w:val="28"/>
          <w:szCs w:val="28"/>
          <w:lang w:val="en-US" w:eastAsia="zh-CN"/>
        </w:rPr>
        <w:t>1</w:t>
      </w:r>
      <w:r>
        <w:rPr>
          <w:rFonts w:hint="eastAsia" w:cs="宋体"/>
          <w:color w:val="FF0000"/>
          <w:sz w:val="28"/>
          <w:szCs w:val="28"/>
        </w:rPr>
        <w:t>年</w:t>
      </w:r>
      <w:r>
        <w:rPr>
          <w:rFonts w:hint="eastAsia" w:cs="宋体"/>
          <w:color w:val="FF0000"/>
          <w:sz w:val="28"/>
          <w:szCs w:val="28"/>
          <w:lang w:val="en-US" w:eastAsia="zh-CN"/>
        </w:rPr>
        <w:t>10</w:t>
      </w:r>
      <w:r>
        <w:rPr>
          <w:rFonts w:hint="eastAsia" w:cs="宋体"/>
          <w:color w:val="FF0000"/>
          <w:sz w:val="28"/>
          <w:szCs w:val="28"/>
        </w:rPr>
        <w:t>月</w:t>
      </w:r>
      <w:r>
        <w:rPr>
          <w:rFonts w:hint="eastAsia" w:cs="宋体"/>
          <w:color w:val="FF0000"/>
          <w:sz w:val="28"/>
          <w:szCs w:val="28"/>
          <w:lang w:val="en-US" w:eastAsia="zh-CN"/>
        </w:rPr>
        <w:t>21</w:t>
      </w:r>
      <w:r>
        <w:rPr>
          <w:rFonts w:hint="eastAsia" w:cs="宋体"/>
          <w:color w:val="FF0000"/>
          <w:sz w:val="28"/>
          <w:szCs w:val="28"/>
        </w:rPr>
        <w:t>日</w:t>
      </w:r>
      <w:r>
        <w:rPr>
          <w:rFonts w:hint="eastAsia" w:cs="宋体"/>
          <w:color w:val="FF0000"/>
          <w:sz w:val="28"/>
          <w:szCs w:val="28"/>
          <w:lang w:eastAsia="zh-CN"/>
        </w:rPr>
        <w:t>上午</w:t>
      </w:r>
      <w:r>
        <w:rPr>
          <w:rFonts w:hint="eastAsia" w:cs="宋体"/>
          <w:color w:val="FF0000"/>
          <w:sz w:val="28"/>
          <w:szCs w:val="28"/>
          <w:lang w:val="en-US" w:eastAsia="zh-CN"/>
        </w:rPr>
        <w:t>9：00</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（二）开标地点：淮北市相山北路</w:t>
      </w:r>
      <w:r>
        <w:rPr>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号皖北康复医院</w:t>
      </w:r>
      <w:r>
        <w:rPr>
          <w:rFonts w:hint="eastAsia" w:cs="宋体"/>
          <w:color w:val="000000" w:themeColor="text1"/>
          <w:sz w:val="28"/>
          <w:szCs w:val="28"/>
          <w:lang w:val="en-US" w:eastAsia="zh-CN"/>
          <w14:textFill>
            <w14:solidFill>
              <w14:schemeClr w14:val="tx1"/>
            </w14:solidFill>
          </w14:textFill>
        </w:rPr>
        <w:t xml:space="preserve">7 </w:t>
      </w:r>
      <w:r>
        <w:rPr>
          <w:rFonts w:hint="eastAsia" w:cs="宋体"/>
          <w:color w:val="000000" w:themeColor="text1"/>
          <w:sz w:val="28"/>
          <w:szCs w:val="28"/>
          <w14:textFill>
            <w14:solidFill>
              <w14:schemeClr w14:val="tx1"/>
            </w14:solidFill>
          </w14:textFill>
        </w:rPr>
        <w:t>号楼</w:t>
      </w:r>
      <w:r>
        <w:rPr>
          <w:rFonts w:hint="eastAsia" w:cs="宋体"/>
          <w:color w:val="000000" w:themeColor="text1"/>
          <w:sz w:val="28"/>
          <w:szCs w:val="28"/>
          <w:lang w:val="en-US" w:eastAsia="zh-CN"/>
          <w14:textFill>
            <w14:solidFill>
              <w14:schemeClr w14:val="tx1"/>
            </w14:solidFill>
          </w14:textFill>
        </w:rPr>
        <w:t xml:space="preserve"> 4</w:t>
      </w:r>
      <w:r>
        <w:rPr>
          <w:rFonts w:hint="eastAsia" w:cs="宋体"/>
          <w:color w:val="000000" w:themeColor="text1"/>
          <w:sz w:val="28"/>
          <w:szCs w:val="28"/>
          <w14:textFill>
            <w14:solidFill>
              <w14:schemeClr w14:val="tx1"/>
            </w14:solidFill>
          </w14:textFill>
        </w:rPr>
        <w:t>楼会</w:t>
      </w:r>
    </w:p>
    <w:p>
      <w:pPr>
        <w:snapToGrid w:val="0"/>
        <w:spacing w:line="360" w:lineRule="auto"/>
        <w:jc w:val="left"/>
        <w:rPr>
          <w:rFonts w:cs="Times New Roman"/>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议室</w:t>
      </w:r>
    </w:p>
    <w:p>
      <w:pPr>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（三）投标截止时间：</w:t>
      </w:r>
      <w:r>
        <w:rPr>
          <w:color w:val="FF0000"/>
          <w:sz w:val="28"/>
          <w:szCs w:val="28"/>
        </w:rPr>
        <w:t>202</w:t>
      </w:r>
      <w:r>
        <w:rPr>
          <w:rFonts w:hint="eastAsia"/>
          <w:color w:val="FF0000"/>
          <w:sz w:val="28"/>
          <w:szCs w:val="28"/>
          <w:lang w:val="en-US" w:eastAsia="zh-CN"/>
        </w:rPr>
        <w:t>1</w:t>
      </w:r>
      <w:r>
        <w:rPr>
          <w:rFonts w:hint="eastAsia" w:cs="宋体"/>
          <w:color w:val="FF0000"/>
          <w:sz w:val="28"/>
          <w:szCs w:val="28"/>
        </w:rPr>
        <w:t>年</w:t>
      </w:r>
      <w:r>
        <w:rPr>
          <w:rFonts w:hint="eastAsia" w:cs="宋体"/>
          <w:color w:val="FF0000"/>
          <w:sz w:val="28"/>
          <w:szCs w:val="28"/>
          <w:lang w:val="en-US" w:eastAsia="zh-CN"/>
        </w:rPr>
        <w:t xml:space="preserve"> 10</w:t>
      </w:r>
      <w:r>
        <w:rPr>
          <w:rFonts w:hint="eastAsia" w:cs="宋体"/>
          <w:color w:val="FF0000"/>
          <w:sz w:val="28"/>
          <w:szCs w:val="28"/>
        </w:rPr>
        <w:t>月</w:t>
      </w:r>
      <w:r>
        <w:rPr>
          <w:rFonts w:hint="eastAsia" w:cs="宋体"/>
          <w:color w:val="FF0000"/>
          <w:sz w:val="28"/>
          <w:szCs w:val="28"/>
          <w:lang w:val="en-US" w:eastAsia="zh-CN"/>
        </w:rPr>
        <w:t>21</w:t>
      </w:r>
      <w:r>
        <w:rPr>
          <w:rFonts w:hint="eastAsia" w:cs="宋体"/>
          <w:color w:val="FF0000"/>
          <w:sz w:val="28"/>
          <w:szCs w:val="28"/>
        </w:rPr>
        <w:t>日</w:t>
      </w:r>
      <w:r>
        <w:rPr>
          <w:rFonts w:hint="eastAsia" w:cs="宋体"/>
          <w:color w:val="FF0000"/>
          <w:sz w:val="28"/>
          <w:szCs w:val="28"/>
          <w:lang w:eastAsia="zh-CN"/>
        </w:rPr>
        <w:t>上午</w:t>
      </w:r>
      <w:r>
        <w:rPr>
          <w:rFonts w:hint="eastAsia" w:cs="宋体"/>
          <w:color w:val="FF0000"/>
          <w:sz w:val="28"/>
          <w:szCs w:val="28"/>
          <w:lang w:val="en-US" w:eastAsia="zh-CN"/>
        </w:rPr>
        <w:t>9：00</w:t>
      </w:r>
      <w:r>
        <w:rPr>
          <w:rFonts w:hint="eastAsia" w:cs="宋体"/>
          <w:color w:val="FF0000"/>
          <w:sz w:val="28"/>
          <w:szCs w:val="28"/>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十一</w:t>
      </w:r>
      <w:r>
        <w:rPr>
          <w:rFonts w:hint="eastAsia" w:asciiTheme="minorEastAsia" w:hAnsiTheme="minorEastAsia" w:eastAsiaTheme="minorEastAsia" w:cstheme="minorEastAsia"/>
          <w:b/>
          <w:bCs/>
          <w:sz w:val="28"/>
          <w:szCs w:val="28"/>
        </w:rPr>
        <w:t>、投标文件的澄清与说明</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投标人如对招标文件提出质疑，请在202</w:t>
      </w:r>
      <w:r>
        <w:rPr>
          <w:rFonts w:hint="eastAsia" w:ascii="Calibri" w:hAnsi="Calibri" w:cs="宋体"/>
          <w:color w:val="000000" w:themeColor="text1"/>
          <w:kern w:val="2"/>
          <w:sz w:val="28"/>
          <w:szCs w:val="28"/>
          <w:lang w:val="en-US" w:eastAsia="zh-CN" w:bidi="ar-SA"/>
          <w14:textFill>
            <w14:solidFill>
              <w14:schemeClr w14:val="tx1"/>
            </w14:solidFill>
          </w14:textFill>
        </w:rPr>
        <w:t>1</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年</w:t>
      </w:r>
      <w:r>
        <w:rPr>
          <w:rFonts w:hint="eastAsia" w:ascii="Calibri" w:hAnsi="Calibri" w:cs="宋体"/>
          <w:color w:val="000000" w:themeColor="text1"/>
          <w:kern w:val="2"/>
          <w:sz w:val="28"/>
          <w:szCs w:val="28"/>
          <w:lang w:val="en-US" w:eastAsia="zh-CN" w:bidi="ar-SA"/>
          <w14:textFill>
            <w14:solidFill>
              <w14:schemeClr w14:val="tx1"/>
            </w14:solidFill>
          </w14:textFill>
        </w:rPr>
        <w:t>10</w:t>
      </w:r>
      <w:r>
        <w:rPr>
          <w:rFonts w:hint="eastAsia" w:ascii="Calibri" w:hAnsi="Calibri" w:eastAsia="宋体" w:cs="宋体"/>
          <w:color w:val="FF0000"/>
          <w:kern w:val="2"/>
          <w:sz w:val="28"/>
          <w:szCs w:val="28"/>
          <w:lang w:val="en-US" w:eastAsia="zh-CN" w:bidi="ar-SA"/>
        </w:rPr>
        <w:t>月</w:t>
      </w:r>
      <w:r>
        <w:rPr>
          <w:rFonts w:hint="eastAsia" w:ascii="Calibri" w:hAnsi="Calibri" w:cs="宋体"/>
          <w:color w:val="FF0000"/>
          <w:kern w:val="2"/>
          <w:sz w:val="28"/>
          <w:szCs w:val="28"/>
          <w:lang w:val="en-US" w:eastAsia="zh-CN" w:bidi="ar-SA"/>
        </w:rPr>
        <w:t>14</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上</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11：00</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前以不署名电子邮件形式发送至邮箱</w:t>
      </w:r>
      <w:r>
        <w:rPr>
          <w:rFonts w:hint="eastAsia" w:ascii="Calibri" w:hAnsi="Calibri" w:cs="宋体"/>
          <w:color w:val="FF0000"/>
          <w:kern w:val="2"/>
          <w:sz w:val="28"/>
          <w:szCs w:val="28"/>
          <w:lang w:val="en-US" w:eastAsia="zh-CN" w:bidi="ar-SA"/>
        </w:rPr>
        <w:t>2295829959</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@QQ.com，招标人</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于202</w:t>
      </w:r>
      <w:r>
        <w:rPr>
          <w:rFonts w:hint="eastAsia" w:ascii="Calibri" w:hAnsi="Calibri" w:cs="宋体"/>
          <w:color w:val="000000" w:themeColor="text1"/>
          <w:kern w:val="2"/>
          <w:sz w:val="28"/>
          <w:szCs w:val="28"/>
          <w:lang w:val="en-US" w:eastAsia="zh-CN" w:bidi="ar-SA"/>
          <w14:textFill>
            <w14:solidFill>
              <w14:schemeClr w14:val="tx1"/>
            </w14:solidFill>
          </w14:textFill>
        </w:rPr>
        <w:t>1</w:t>
      </w:r>
      <w:r>
        <w:rPr>
          <w:rFonts w:hint="eastAsia" w:ascii="Calibri" w:hAnsi="Calibri" w:eastAsia="宋体" w:cs="宋体"/>
          <w:color w:val="FF0000"/>
          <w:kern w:val="2"/>
          <w:sz w:val="28"/>
          <w:szCs w:val="28"/>
          <w:lang w:val="en-US" w:eastAsia="zh-CN" w:bidi="ar-SA"/>
        </w:rPr>
        <w:t>年</w:t>
      </w:r>
      <w:r>
        <w:rPr>
          <w:rFonts w:hint="eastAsia" w:ascii="Calibri" w:hAnsi="Calibri" w:cs="宋体"/>
          <w:color w:val="FF0000"/>
          <w:kern w:val="2"/>
          <w:sz w:val="28"/>
          <w:szCs w:val="28"/>
          <w:lang w:val="en-US" w:eastAsia="zh-CN" w:bidi="ar-SA"/>
        </w:rPr>
        <w:t>10</w:t>
      </w:r>
      <w:r>
        <w:rPr>
          <w:rFonts w:hint="eastAsia" w:ascii="Calibri" w:hAnsi="Calibri" w:eastAsia="宋体" w:cs="宋体"/>
          <w:color w:val="FF0000"/>
          <w:kern w:val="2"/>
          <w:sz w:val="28"/>
          <w:szCs w:val="28"/>
          <w:lang w:val="en-US" w:eastAsia="zh-CN" w:bidi="ar-SA"/>
        </w:rPr>
        <w:t>月</w:t>
      </w:r>
      <w:r>
        <w:rPr>
          <w:rFonts w:hint="eastAsia" w:ascii="Calibri" w:hAnsi="Calibri" w:cs="宋体"/>
          <w:color w:val="FF0000"/>
          <w:kern w:val="2"/>
          <w:sz w:val="28"/>
          <w:szCs w:val="28"/>
          <w:lang w:val="en-US" w:eastAsia="zh-CN" w:bidi="ar-SA"/>
        </w:rPr>
        <w:t>15</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下</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5：00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予以公</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告统一答复，逾期的质疑概不受理，开标后不得对招标文件的内容或</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条款提出质疑。</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十二</w:t>
      </w:r>
      <w:r>
        <w:rPr>
          <w:rFonts w:hint="eastAsia" w:asciiTheme="minorEastAsia" w:hAnsiTheme="minorEastAsia" w:eastAsiaTheme="minorEastAsia" w:cstheme="minorEastAsia"/>
          <w:b/>
          <w:bCs/>
        </w:rPr>
        <w:t>、评标办法：</w:t>
      </w:r>
      <w:r>
        <w:rPr>
          <w:rFonts w:hint="eastAsia" w:asciiTheme="minorEastAsia" w:hAnsiTheme="minorEastAsia" w:eastAsiaTheme="minorEastAsia" w:cstheme="minorEastAsia"/>
        </w:rPr>
        <w:t>综合评分法</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十三</w:t>
      </w:r>
      <w:r>
        <w:rPr>
          <w:rFonts w:hint="eastAsia" w:asciiTheme="minorEastAsia" w:hAnsiTheme="minorEastAsia" w:eastAsiaTheme="minorEastAsia" w:cstheme="minorEastAsia"/>
          <w:b/>
          <w:bCs/>
        </w:rPr>
        <w:t>、投标文件</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投标人应交送</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rPr>
        <w:t>份纸质投标文件，标有正本（</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b/>
          <w:bCs/>
        </w:rPr>
        <w:t>4</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rPr>
        <w:t>份）。</w:t>
      </w:r>
      <w:r>
        <w:rPr>
          <w:rFonts w:hint="eastAsia" w:asciiTheme="minorEastAsia" w:hAnsiTheme="minorEastAsia" w:eastAsiaTheme="minorEastAsia" w:cstheme="minorEastAsia"/>
          <w:color w:val="000000" w:themeColor="text1"/>
          <w14:textFill>
            <w14:solidFill>
              <w14:schemeClr w14:val="tx1"/>
            </w14:solidFill>
          </w14:textFill>
        </w:rPr>
        <w:t>电子版投标文件1份（光盘U盘均可），电子版投标文件内容须</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与纸质投标文件完全相同。</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400" w:firstLineChars="5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投标文件须盖投标人公章，并有法定代表人或委托代理人的签</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名。</w:t>
      </w:r>
    </w:p>
    <w:p>
      <w:pPr>
        <w:pStyle w:val="10"/>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投标文件的正、副本应密封包装，封口处贴封条并骑缝加盖公</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章。封面注明招标项目和招标单位、投标人名称，并注明“开标时启封”字样。投标文件不按规定密封视为无效。电子版投标文件须单独密封，并注明投标人名称。无电子版投标文件，招标方拒绝接受投标方的投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投标文件须实质性响应招标文件的要求，实质性内容是指物资</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采购数量、投标方案、主要技术规格、主要合同条款等，招标文件中要求的“投标文件编制内容”，投标文件不得漏项，如有漏项，视为没有“实质性”响应招标文件。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凡招标文件中有投标文件编制格式的部分，投标文件须按招标</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文件规定的格式编制，不按规定格式填报的投标文件可能造成无效投标。</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投标人应保证投标文件及资料均未侵犯他人的知识产权，否则</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投标人必须承担由此引起的全部法律责任。</w:t>
      </w:r>
    </w:p>
    <w:p>
      <w:pPr>
        <w:pStyle w:val="10"/>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若投标人使用了他人的专利、专有技术，涉及的费用由投标人</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w:t>
      </w:r>
    </w:p>
    <w:p>
      <w:pPr>
        <w:pStyle w:val="10"/>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招标人不接受投标人对任何未办理正常进口手续的非中华人</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民共和国境内生产的货物的投标报价。</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lang w:eastAsia="zh-CN"/>
        </w:rPr>
        <w:t>参标设备的技术参数</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eastAsia="zh-CN"/>
        </w:rPr>
        <w:t>与</w:t>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lang w:eastAsia="zh-CN"/>
        </w:rPr>
        <w:t>所列相应参数不同</w:t>
      </w:r>
      <w:r>
        <w:rPr>
          <w:rFonts w:hint="eastAsia" w:asciiTheme="minorEastAsia" w:hAnsiTheme="minorEastAsia" w:eastAsiaTheme="minorEastAsia" w:cstheme="minorEastAsia"/>
        </w:rPr>
        <w:t>，可在技术偏离表中填写。</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、下列情况之一者为废标：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（六）没有对招标文件提出的要求和条件作出实质性响应的；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假方式投标的；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（八）评委会一致确认应属于废标的其它严重情况。</w:t>
      </w: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inorEastAsia" w:hAnsiTheme="minorEastAsia" w:eastAsiaTheme="minorEastAsia" w:cstheme="minorEastAsia"/>
          <w:b/>
          <w:bCs/>
          <w:kern w:val="0"/>
          <w:sz w:val="28"/>
          <w:szCs w:val="28"/>
          <w:lang w:val="en-US" w:eastAsia="zh-CN"/>
        </w:rPr>
        <w:t>一 、经颅直流电刺激仪1台(4-6通道）。</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2" w:firstLineChars="2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总控制价</w:t>
      </w:r>
      <w:r>
        <w:rPr>
          <w:rFonts w:hint="eastAsia" w:asciiTheme="minorEastAsia" w:hAnsiTheme="minorEastAsia" w:eastAsiaTheme="minorEastAsia" w:cstheme="minorEastAsia"/>
          <w:b/>
          <w:bCs/>
          <w:color w:val="auto"/>
          <w:kern w:val="0"/>
          <w:sz w:val="28"/>
          <w:szCs w:val="28"/>
          <w:lang w:val="en-US" w:eastAsia="zh-CN"/>
        </w:rPr>
        <w:t>32</w:t>
      </w:r>
      <w:r>
        <w:rPr>
          <w:rFonts w:hint="eastAsia" w:asciiTheme="minorEastAsia" w:hAnsiTheme="minorEastAsia" w:eastAsiaTheme="minorEastAsia" w:cstheme="minorEastAsia"/>
          <w:b/>
          <w:bCs/>
          <w:kern w:val="0"/>
          <w:sz w:val="28"/>
          <w:szCs w:val="28"/>
          <w:lang w:val="en-US" w:eastAsia="zh-CN"/>
        </w:rPr>
        <w:t>万元</w:t>
      </w:r>
    </w:p>
    <w:p>
      <w:pPr>
        <w:keepNext w:val="0"/>
        <w:keepLines w:val="0"/>
        <w:pageBreakBefore w:val="0"/>
        <w:numPr>
          <w:ilvl w:val="0"/>
          <w:numId w:val="3"/>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主要设备技术参数及配置要求</w:t>
      </w:r>
    </w:p>
    <w:p>
      <w:pPr>
        <w:spacing w:line="360" w:lineRule="auto"/>
        <w:ind w:left="0" w:leftChars="0" w:firstLine="0" w:firstLineChars="0"/>
        <w:outlineLvl w:val="1"/>
        <w:rPr>
          <w:rFonts w:hint="eastAsia" w:asciiTheme="majorEastAsia" w:hAnsiTheme="majorEastAsia" w:eastAsiaTheme="majorEastAsia" w:cstheme="majorEastAsia"/>
          <w:sz w:val="24"/>
          <w:szCs w:val="24"/>
        </w:rPr>
      </w:pPr>
      <w:bookmarkStart w:id="0" w:name="_Toc16747"/>
      <w:r>
        <w:rPr>
          <w:rFonts w:hint="eastAsia" w:asciiTheme="minorEastAsia" w:hAnsiTheme="minorEastAsia" w:eastAsiaTheme="minorEastAsia" w:cstheme="minorEastAsia"/>
          <w:b/>
          <w:bCs/>
          <w:sz w:val="28"/>
          <w:szCs w:val="28"/>
          <w:lang w:val="en-US" w:eastAsia="zh-CN"/>
        </w:rPr>
        <w:t>（一）主要配置要求：</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1.经颅直流电刺激仪1台（</w:t>
      </w:r>
      <w:r>
        <w:rPr>
          <w:rFonts w:hint="eastAsia" w:asciiTheme="minorEastAsia" w:hAnsiTheme="minorEastAsia" w:eastAsiaTheme="minorEastAsia" w:cstheme="minorEastAsia"/>
          <w:color w:val="auto"/>
          <w:kern w:val="2"/>
          <w:sz w:val="28"/>
          <w:szCs w:val="28"/>
          <w:lang w:val="en-US" w:eastAsia="zh-CN" w:bidi="ar-SA"/>
        </w:rPr>
        <w:t>4-6通道</w:t>
      </w:r>
      <w:r>
        <w:rPr>
          <w:rFonts w:hint="eastAsia" w:asciiTheme="minorEastAsia" w:hAnsiTheme="minorEastAsia" w:eastAsiaTheme="minorEastAsia" w:cstheme="minorEastAsia"/>
          <w:kern w:val="2"/>
          <w:sz w:val="28"/>
          <w:szCs w:val="28"/>
          <w:lang w:val="en-US" w:eastAsia="zh-CN" w:bidi="ar-SA"/>
        </w:rPr>
        <w:t>）。</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2.配件要求：具备常规</w:t>
      </w:r>
      <w:r>
        <w:rPr>
          <w:rFonts w:hint="eastAsia" w:asciiTheme="minorEastAsia" w:hAnsiTheme="minorEastAsia" w:eastAsiaTheme="minorEastAsia" w:cstheme="minorEastAsia"/>
          <w:color w:val="auto"/>
          <w:kern w:val="2"/>
          <w:sz w:val="28"/>
          <w:szCs w:val="28"/>
          <w:lang w:val="en-US" w:eastAsia="zh-CN" w:bidi="ar-SA"/>
        </w:rPr>
        <w:t>矩形或圆形</w:t>
      </w:r>
      <w:r>
        <w:rPr>
          <w:rFonts w:hint="eastAsia" w:asciiTheme="minorEastAsia" w:hAnsiTheme="minorEastAsia" w:eastAsiaTheme="minorEastAsia" w:cstheme="minorEastAsia"/>
          <w:kern w:val="2"/>
          <w:sz w:val="28"/>
          <w:szCs w:val="28"/>
          <w:lang w:val="en-US" w:eastAsia="zh-CN" w:bidi="ar-SA"/>
        </w:rPr>
        <w:t>电极，同时具备儿童用</w:t>
      </w:r>
      <w:r>
        <w:rPr>
          <w:rFonts w:hint="eastAsia" w:asciiTheme="minorEastAsia" w:hAnsiTheme="minorEastAsia" w:eastAsiaTheme="minorEastAsia" w:cstheme="minorEastAsia"/>
          <w:color w:val="auto"/>
          <w:kern w:val="2"/>
          <w:sz w:val="28"/>
          <w:szCs w:val="28"/>
          <w:lang w:val="en-US" w:eastAsia="zh-CN" w:bidi="ar-SA"/>
        </w:rPr>
        <w:t>矩形、圆形</w:t>
      </w:r>
      <w:r>
        <w:rPr>
          <w:rFonts w:hint="eastAsia" w:asciiTheme="minorEastAsia" w:hAnsiTheme="minorEastAsia" w:eastAsiaTheme="minorEastAsia" w:cstheme="minorEastAsia"/>
          <w:kern w:val="2"/>
          <w:sz w:val="28"/>
          <w:szCs w:val="28"/>
          <w:lang w:val="en-US" w:eastAsia="zh-CN" w:bidi="ar-SA"/>
        </w:rPr>
        <w:t>电极（电极须具备医疗器械备案凭证），电极边缘设有防电流边缘聚焦装置，确保电流密度。</w:t>
      </w:r>
    </w:p>
    <w:p>
      <w:p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（二）技术性能要求：</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*1.输出方式：4-6通道输出（每通道可治疗一名患者）。</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2.接触质量：通过刺激器面板光柱光标移动来直观体现电极接触质量。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3.参数设定：所有刺激参数均由置于主机上的专用开关或旋钮或触屏调节，刺激参数实时显示，和无线数字传输设置。</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4.电流强度                                        </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4.1 电流强度范围：0～3mA。</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4.2 电流精度：误差应不大于±25%设定值。</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FF0000"/>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*4.3 电流控制：在刺激治疗过程中可通过调节实现输出电流的实时线性调节（输出电流上限取决于刺激前设定的最大电流）</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5.刺激时间</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5.1 刺激时间范围：有档可选。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5.2 刺激时间精度：误差应不大于±5%设定值。</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*6.刺激模式：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经颅直流电刺激模式（tDCS模式）和或经颅交流电刺激模式（tACS模式）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7.工作电压：DC9V±25％。</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8.设备显示状态</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8.1主机或便携式机器显示功能：刺激器具备专用显示屏分别显示真实电流强度、剩余时间及电极连接质量。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8.2状态指示灯：主机面板应具备电量警告显示灯，刺激进行指示灯（电流缓升与缓降时闪烁，刺激过程中保持明亮）。</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*10.安全保护功能：一键中止治疗，要求刺激过程中在不关闭电源的前提下随时中止电流输出.</w:t>
      </w:r>
    </w:p>
    <w:bookmarkEnd w:id="0"/>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10.1信息管理功能：具有信息系统智能管理模块，可对治疗者基本信息和治疗情况进行记录和检索。</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10.2 处方选择功能：具有标准专家处方与自定义处方两种选择功能，兼顾临床治疗与科研工作需求。</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10.3实时显示经颅直流电刺激仪主机输出参数，电池电量等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kern w:val="2"/>
          <w:sz w:val="28"/>
          <w:szCs w:val="28"/>
          <w:lang w:val="en-US" w:eastAsia="zh-CN" w:bidi="ar-SA"/>
        </w:rPr>
        <w:t>*适用范围：脑卒中、颅脑损伤等中枢神经系统疾患引起的运动功能障碍、感觉障碍、语言障碍、吞咽障碍进行治疗。(需提供医疗器械注册证加以证明)。</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sz w:val="28"/>
          <w:szCs w:val="28"/>
          <w:lang w:eastAsia="zh-CN"/>
        </w:rPr>
        <w:t>三、投标人</w:t>
      </w:r>
      <w:r>
        <w:rPr>
          <w:rFonts w:hint="eastAsia" w:asciiTheme="minorEastAsia" w:hAnsiTheme="minorEastAsia" w:eastAsiaTheme="minorEastAsia" w:cstheme="minorEastAsia"/>
          <w:b/>
          <w:bCs/>
          <w:sz w:val="28"/>
          <w:szCs w:val="28"/>
        </w:rPr>
        <w:t>应提供:</w:t>
      </w:r>
      <w:r>
        <w:rPr>
          <w:rFonts w:hint="eastAsia" w:asciiTheme="minorEastAsia" w:hAnsiTheme="minorEastAsia" w:eastAsiaTheme="minorEastAsia" w:cstheme="minorEastAsia"/>
          <w:color w:val="auto"/>
          <w:kern w:val="0"/>
          <w:sz w:val="28"/>
          <w:szCs w:val="28"/>
        </w:rPr>
        <w:t>近</w:t>
      </w:r>
      <w:r>
        <w:rPr>
          <w:rFonts w:hint="eastAsia" w:asciiTheme="minorEastAsia" w:hAnsiTheme="minorEastAsia" w:eastAsiaTheme="minorEastAsia" w:cstheme="minorEastAsia"/>
          <w:color w:val="auto"/>
          <w:kern w:val="0"/>
          <w:sz w:val="28"/>
          <w:szCs w:val="28"/>
          <w:lang w:eastAsia="zh-CN"/>
        </w:rPr>
        <w:t>两</w:t>
      </w:r>
      <w:r>
        <w:rPr>
          <w:rFonts w:hint="eastAsia" w:asciiTheme="minorEastAsia" w:hAnsiTheme="minorEastAsia" w:eastAsiaTheme="minorEastAsia" w:cstheme="minorEastAsia"/>
          <w:color w:val="auto"/>
          <w:kern w:val="0"/>
          <w:sz w:val="28"/>
          <w:szCs w:val="28"/>
        </w:rPr>
        <w:t>年内</w:t>
      </w:r>
      <w:r>
        <w:rPr>
          <w:rFonts w:hint="eastAsia" w:asciiTheme="minorEastAsia" w:hAnsiTheme="minorEastAsia" w:eastAsiaTheme="minorEastAsia" w:cstheme="minorEastAsia"/>
          <w:color w:val="auto"/>
          <w:kern w:val="0"/>
          <w:sz w:val="28"/>
          <w:szCs w:val="28"/>
          <w:lang w:eastAsia="zh-CN"/>
        </w:rPr>
        <w:t>的</w:t>
      </w:r>
      <w:r>
        <w:rPr>
          <w:rFonts w:hint="eastAsia" w:asciiTheme="minorEastAsia" w:hAnsiTheme="minorEastAsia" w:eastAsiaTheme="minorEastAsia" w:cstheme="minorEastAsia"/>
          <w:color w:val="auto"/>
          <w:kern w:val="0"/>
          <w:sz w:val="28"/>
          <w:szCs w:val="28"/>
        </w:rPr>
        <w:t>，同款</w:t>
      </w:r>
      <w:r>
        <w:rPr>
          <w:rFonts w:hint="eastAsia" w:asciiTheme="minorEastAsia" w:hAnsiTheme="minorEastAsia" w:eastAsiaTheme="minorEastAsia" w:cstheme="minorEastAsia"/>
          <w:color w:val="auto"/>
          <w:kern w:val="0"/>
          <w:sz w:val="28"/>
          <w:szCs w:val="28"/>
          <w:lang w:eastAsia="zh-CN"/>
        </w:rPr>
        <w:t>设备</w:t>
      </w:r>
      <w:r>
        <w:rPr>
          <w:rFonts w:hint="eastAsia" w:asciiTheme="minorEastAsia" w:hAnsiTheme="minorEastAsia" w:eastAsiaTheme="minorEastAsia" w:cstheme="minorEastAsia"/>
          <w:color w:val="auto"/>
          <w:kern w:val="0"/>
          <w:sz w:val="28"/>
          <w:szCs w:val="28"/>
        </w:rPr>
        <w:t>销售清单及销售合同</w:t>
      </w:r>
      <w:r>
        <w:rPr>
          <w:rFonts w:hint="eastAsia" w:asciiTheme="minorEastAsia" w:hAnsiTheme="minorEastAsia" w:eastAsiaTheme="minorEastAsia" w:cstheme="minorEastAsia"/>
          <w:color w:val="auto"/>
          <w:kern w:val="0"/>
          <w:sz w:val="28"/>
          <w:szCs w:val="28"/>
          <w:lang w:eastAsia="zh-CN"/>
        </w:rPr>
        <w:t>扫描件，不接受关联公司业绩</w:t>
      </w:r>
      <w:r>
        <w:rPr>
          <w:rFonts w:hint="eastAsia" w:asciiTheme="minorEastAsia" w:hAnsiTheme="minorEastAsia" w:eastAsiaTheme="minorEastAsia" w:cstheme="minorEastAsia"/>
          <w:color w:val="auto"/>
          <w:kern w:val="0"/>
          <w:sz w:val="28"/>
          <w:szCs w:val="28"/>
        </w:rPr>
        <w:t>。</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四、技术资料</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提供操作手册一套。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bookmarkStart w:id="1" w:name="_Toc211769022"/>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人员培训</w:t>
      </w:r>
      <w:bookmarkEnd w:id="1"/>
      <w:bookmarkStart w:id="2" w:name="_Toc211769023"/>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投标人</w:t>
      </w:r>
      <w:r>
        <w:rPr>
          <w:rFonts w:hint="eastAsia" w:asciiTheme="minorEastAsia" w:hAnsiTheme="minorEastAsia" w:eastAsiaTheme="minorEastAsia" w:cstheme="minorEastAsia"/>
          <w:kern w:val="0"/>
          <w:sz w:val="28"/>
          <w:szCs w:val="28"/>
        </w:rPr>
        <w:t>应提供现场或外出技术培训，保证</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使用人员正常操作设备的各种功能。</w:t>
      </w:r>
    </w:p>
    <w:bookmarkEnd w:id="2"/>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keepNext w:val="0"/>
        <w:keepLines w:val="0"/>
        <w:pageBreakBefore w:val="0"/>
        <w:numPr>
          <w:ilvl w:val="0"/>
          <w:numId w:val="4"/>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投标文件应按规定内容和格式编制，投标文件不按规定内容和格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式编制或有实质性的漏项，有可能造成无效投标。</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eastAsia="zh-CN"/>
        </w:rPr>
        <w:t>身份</w:t>
      </w:r>
      <w:r>
        <w:rPr>
          <w:rFonts w:hint="eastAsia" w:asciiTheme="minorEastAsia" w:hAnsiTheme="minorEastAsia" w:eastAsiaTheme="minorEastAsia" w:cstheme="minorEastAsia"/>
          <w:sz w:val="28"/>
          <w:szCs w:val="28"/>
        </w:rPr>
        <w:t>证明</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法定代表人的授权委托书；</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质量保证措施</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（十二）质保期承诺函；附件（八）</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两</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eastAsia="zh-CN"/>
        </w:rPr>
        <w:t>（十五）</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beforeAutospacing="0" w:afterAutospacing="0" w:line="360" w:lineRule="auto"/>
        <w:ind w:left="1961" w:leftChars="934" w:firstLine="573" w:firstLineChars="20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设备价格：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（一）设备价格执行乙方投标价格。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投标价格包括</w:t>
      </w:r>
      <w:r>
        <w:rPr>
          <w:rFonts w:hint="eastAsia" w:ascii="华文仿宋" w:hAnsi="华文仿宋" w:cs="宋体"/>
          <w:color w:val="000000"/>
          <w:sz w:val="28"/>
          <w:szCs w:val="28"/>
        </w:rPr>
        <w:t>设备生产成本、搬运、安装、调试、验收等所有投入和收益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1、设备在合同规定的交货日期内到达交货地点后，在乙方负责人员和甲方采购主办部门、在场的情况下开箱确认设备的型号以及清点备品备件，核对装箱清单，确认合格的甲方采购主办部门和财务部门、经管部门应在验收单据上分别签字。</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rPr>
      </w:pPr>
      <w:r>
        <w:rPr>
          <w:rFonts w:hint="eastAsia" w:ascii="宋体" w:hAnsi="宋体" w:cs="宋体"/>
          <w:color w:val="000000" w:themeColor="text1"/>
          <w:kern w:val="0"/>
          <w:sz w:val="28"/>
          <w:szCs w:val="28"/>
          <w:lang w:eastAsia="zh-CN"/>
          <w14:textFill>
            <w14:solidFill>
              <w14:schemeClr w14:val="tx1"/>
            </w14:solidFill>
          </w14:textFill>
        </w:rPr>
        <w:t>2、设备安装后，设备的各项性能指标均能达到招标文件的要求，双方即签署验收文件，设备被视为验收通过。</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技术人员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切费用。</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、设备款的</w:t>
      </w:r>
      <w:r>
        <w:rPr>
          <w:rFonts w:hint="eastAsia" w:asciiTheme="minorEastAsia" w:hAnsiTheme="minorEastAsia" w:eastAsiaTheme="minorEastAsia" w:cstheme="minorEastAsia"/>
          <w:sz w:val="28"/>
          <w:szCs w:val="28"/>
          <w:lang w:eastAsia="zh-CN"/>
        </w:rPr>
        <w:t>结算与</w:t>
      </w:r>
      <w:r>
        <w:rPr>
          <w:rFonts w:hint="eastAsia" w:asciiTheme="minorEastAsia" w:hAnsiTheme="minorEastAsia" w:eastAsiaTheme="minorEastAsia" w:cstheme="minorEastAsia"/>
          <w:sz w:val="28"/>
          <w:szCs w:val="28"/>
        </w:rPr>
        <w:t>支付</w:t>
      </w:r>
    </w:p>
    <w:p>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rPr>
        <w:t>无预付款。</w:t>
      </w: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据为依据进行结算。</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b w:val="0"/>
          <w:bCs w:val="0"/>
          <w:sz w:val="28"/>
          <w:szCs w:val="28"/>
          <w:lang w:eastAsia="zh-CN"/>
        </w:rPr>
        <w:t>乙</w:t>
      </w:r>
      <w:r>
        <w:rPr>
          <w:rFonts w:hint="eastAsia" w:asciiTheme="minorEastAsia" w:hAnsiTheme="minorEastAsia" w:eastAsiaTheme="minorEastAsia" w:cstheme="minorEastAsia"/>
          <w:b w:val="0"/>
          <w:bCs w:val="0"/>
          <w:sz w:val="28"/>
          <w:szCs w:val="28"/>
        </w:rPr>
        <w:t>方提供增值税专用发</w:t>
      </w:r>
      <w:r>
        <w:rPr>
          <w:rFonts w:hint="eastAsia" w:asciiTheme="minorEastAsia" w:hAnsiTheme="minorEastAsia" w:eastAsiaTheme="minorEastAsia" w:cstheme="minorEastAsia"/>
          <w:b w:val="0"/>
          <w:bCs w:val="0"/>
          <w:color w:val="auto"/>
          <w:sz w:val="28"/>
          <w:szCs w:val="28"/>
        </w:rPr>
        <w:t>票</w:t>
      </w:r>
      <w:r>
        <w:rPr>
          <w:rFonts w:hint="eastAsia" w:asciiTheme="minorEastAsia" w:hAnsiTheme="minorEastAsia" w:eastAsiaTheme="minorEastAsia" w:cstheme="minorEastAsia"/>
          <w:b w:val="0"/>
          <w:bCs w:val="0"/>
          <w:color w:val="auto"/>
          <w:sz w:val="28"/>
          <w:szCs w:val="28"/>
          <w:lang w:val="en-US" w:eastAsia="zh-CN"/>
        </w:rPr>
        <w:t>(13%）</w:t>
      </w:r>
      <w:r>
        <w:rPr>
          <w:rFonts w:hint="eastAsia" w:asciiTheme="minorEastAsia" w:hAnsiTheme="minorEastAsia" w:eastAsiaTheme="minorEastAsia" w:cstheme="minorEastAsia"/>
          <w:b w:val="0"/>
          <w:bCs w:val="0"/>
          <w:color w:val="auto"/>
          <w:sz w:val="28"/>
          <w:szCs w:val="28"/>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（一）乙方应于接到中标通知书后的5日内向甲方指定账户打入成交</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金额10%的履约保证金。</w:t>
      </w:r>
    </w:p>
    <w:p>
      <w:pPr>
        <w:snapToGrid w:val="0"/>
        <w:spacing w:line="360" w:lineRule="auto"/>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w:t>
      </w:r>
    </w:p>
    <w:p>
      <w:pPr>
        <w:snapToGrid w:val="0"/>
        <w:spacing w:line="360" w:lineRule="auto"/>
        <w:jc w:val="left"/>
        <w:rPr>
          <w:rFonts w:hint="eastAsia" w:ascii="宋体" w:hAnsi="宋体" w:cs="宋体"/>
          <w:sz w:val="28"/>
          <w:szCs w:val="28"/>
        </w:rPr>
      </w:pPr>
      <w:r>
        <w:rPr>
          <w:rFonts w:hint="eastAsia" w:ascii="宋体" w:hAnsi="宋体" w:cs="宋体"/>
          <w:sz w:val="28"/>
          <w:szCs w:val="28"/>
        </w:rPr>
        <w:t>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jc w:val="left"/>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24</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r>
        <w:rPr>
          <w:rFonts w:hint="eastAsia" w:ascii="宋体" w:hAnsi="宋体" w:cs="宋体"/>
          <w:sz w:val="28"/>
          <w:szCs w:val="28"/>
          <w:lang w:eastAsia="zh-CN"/>
        </w:rPr>
        <w:t>直至解决运行故障</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keepNext w:val="0"/>
        <w:keepLines w:val="0"/>
        <w:pageBreakBefore w:val="0"/>
        <w:widowControl/>
        <w:numPr>
          <w:ilvl w:val="0"/>
          <w:numId w:val="5"/>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自验收合格之日起 15 天内出现非人为原因的故障致使设备</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无法正常使用，乙方无条件退换，乙方保证退换设备与先前设备同一品质。</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r>
        <w:rPr>
          <w:rFonts w:hint="eastAsia" w:ascii="华文仿宋" w:hAnsi="华文仿宋" w:cs="宋体"/>
          <w:color w:val="000000" w:themeColor="text1"/>
          <w:sz w:val="28"/>
          <w:szCs w:val="28"/>
          <w14:textFill>
            <w14:solidFill>
              <w14:schemeClr w14:val="tx1"/>
            </w14:solidFill>
          </w14:textFill>
        </w:rPr>
        <w:t>（按全年365天计算）</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hint="eastAsia" w:ascii="宋体" w:hAnsi="宋体" w:cs="宋体"/>
          <w:sz w:val="28"/>
          <w:szCs w:val="28"/>
          <w:lang w:eastAsia="zh-CN"/>
        </w:rPr>
        <w:t>合同总价款的日千分之二</w:t>
      </w:r>
      <w:r>
        <w:rPr>
          <w:rFonts w:hint="eastAsia" w:ascii="宋体" w:hAnsi="宋体" w:cs="宋体"/>
          <w:color w:val="000000" w:themeColor="text1"/>
          <w:sz w:val="28"/>
          <w:szCs w:val="28"/>
          <w14:textFill>
            <w14:solidFill>
              <w14:schemeClr w14:val="tx1"/>
            </w14:solidFill>
          </w14:textFill>
        </w:rPr>
        <w:t>交</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color w:val="000000" w:themeColor="text1"/>
          <w:sz w:val="28"/>
          <w:szCs w:val="28"/>
          <w14:textFill>
            <w14:solidFill>
              <w14:schemeClr w14:val="tx1"/>
            </w14:solidFill>
          </w14:textFill>
        </w:rPr>
        <w:t>纳违约金</w:t>
      </w:r>
      <w:r>
        <w:rPr>
          <w:rFonts w:hint="eastAsia" w:ascii="宋体" w:hAnsi="宋体" w:cs="宋体"/>
          <w:color w:val="000000" w:themeColor="text1"/>
          <w:sz w:val="28"/>
          <w:szCs w:val="28"/>
          <w:lang w:eastAsia="zh-CN"/>
          <w14:textFill>
            <w14:solidFill>
              <w14:schemeClr w14:val="tx1"/>
            </w14:solidFill>
          </w14:textFill>
        </w:rPr>
        <w:t>，从履约保证金中扣除。</w:t>
      </w:r>
      <w:r>
        <w:rPr>
          <w:rFonts w:hint="eastAsia" w:ascii="宋体" w:hAnsi="宋体" w:cs="宋体"/>
          <w:color w:val="000000" w:themeColor="text1"/>
          <w:sz w:val="28"/>
          <w:szCs w:val="28"/>
          <w14:textFill>
            <w14:solidFill>
              <w14:schemeClr w14:val="tx1"/>
            </w14:solidFill>
          </w14:textFill>
        </w:rPr>
        <w:t>当违约金达到合同</w:t>
      </w:r>
      <w:r>
        <w:rPr>
          <w:rFonts w:hint="eastAsia" w:ascii="宋体" w:hAnsi="宋体" w:cs="宋体"/>
          <w:color w:val="000000" w:themeColor="text1"/>
          <w:sz w:val="28"/>
          <w:szCs w:val="28"/>
          <w:lang w:eastAsia="zh-CN"/>
          <w14:textFill>
            <w14:solidFill>
              <w14:schemeClr w14:val="tx1"/>
            </w14:solidFill>
          </w14:textFill>
        </w:rPr>
        <w:t>总价</w:t>
      </w:r>
      <w:r>
        <w:rPr>
          <w:rFonts w:hint="eastAsia" w:ascii="宋体" w:hAnsi="宋体" w:cs="宋体"/>
          <w:color w:val="000000" w:themeColor="text1"/>
          <w:sz w:val="28"/>
          <w:szCs w:val="28"/>
          <w14:textFill>
            <w14:solidFill>
              <w14:schemeClr w14:val="tx1"/>
            </w14:solidFill>
          </w14:textFill>
        </w:rPr>
        <w:t>款的</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％时</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eastAsia="zh-CN"/>
        </w:rPr>
        <w:t>若乙方不能及时提供售后服务，</w:t>
      </w:r>
      <w:r>
        <w:rPr>
          <w:rFonts w:hint="eastAsia" w:ascii="华文仿宋" w:hAnsi="华文仿宋" w:cs="宋体"/>
          <w:color w:val="000000" w:themeColor="text1"/>
          <w:sz w:val="28"/>
          <w:szCs w:val="28"/>
          <w14:textFill>
            <w14:solidFill>
              <w14:schemeClr w14:val="tx1"/>
            </w14:solidFill>
          </w14:textFill>
        </w:rPr>
        <w:t>每逾期一次，保修期限延长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30天。因乙方不能及时提供服务，甲方有权安排第三方进行处理，费用从履约保证金中扣除，大于履约保证金的甲方有权向乙方追偿。</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）设备全年开机率要求大于95％以上（按全年365天计算），乙方</w:t>
      </w:r>
      <w:r>
        <w:rPr>
          <w:rFonts w:hint="eastAsia" w:ascii="华文仿宋" w:hAnsi="华文仿宋" w:cs="宋体"/>
          <w:color w:val="000000" w:themeColor="text1"/>
          <w:sz w:val="28"/>
          <w:szCs w:val="28"/>
          <w:lang w:eastAsia="zh-CN"/>
          <w14:textFill>
            <w14:solidFill>
              <w14:schemeClr w14:val="tx1"/>
            </w14:solidFill>
          </w14:textFill>
        </w:rPr>
        <w:t>提供</w:t>
      </w:r>
      <w:r>
        <w:rPr>
          <w:rFonts w:hint="eastAsia" w:ascii="华文仿宋" w:hAnsi="华文仿宋" w:cs="宋体"/>
          <w:color w:val="000000" w:themeColor="text1"/>
          <w:sz w:val="28"/>
          <w:szCs w:val="28"/>
          <w14:textFill>
            <w14:solidFill>
              <w14:schemeClr w14:val="tx1"/>
            </w14:solidFill>
          </w14:textFill>
        </w:rPr>
        <w:t>的设备不能达到上述约定，停机时间每超过1天，保修期顺延3天。</w:t>
      </w:r>
      <w:r>
        <w:rPr>
          <w:rFonts w:hint="eastAsia" w:ascii="华文仿宋" w:hAnsi="华文仿宋" w:cs="宋体"/>
          <w:color w:val="000000" w:themeColor="text1"/>
          <w:sz w:val="28"/>
          <w:szCs w:val="28"/>
          <w:lang w:eastAsia="zh-CN"/>
          <w14:textFill>
            <w14:solidFill>
              <w14:schemeClr w14:val="tx1"/>
            </w14:solidFill>
          </w14:textFill>
        </w:rPr>
        <w:t>因售后服务和设备开机率低导致的保修期延长时间，两者可以累加。</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）乙方提供设备为非全新设备，甲方拒付所有款项，履约保证金不予退还。因非全新设备给甲方造成损失由乙方承担。</w:t>
      </w: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numPr>
          <w:ilvl w:val="0"/>
          <w:numId w:val="0"/>
        </w:num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招标人组建评标委员会，评标委员会按照评标办法的规定进行评</w:t>
      </w:r>
    </w:p>
    <w:p>
      <w:pPr>
        <w:numPr>
          <w:ilvl w:val="0"/>
          <w:numId w:val="0"/>
        </w:num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w:t>
      </w:r>
      <w:bookmarkStart w:id="4" w:name="_GoBack"/>
      <w:bookmarkEnd w:id="4"/>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（一）开标</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1、招标人按规定的时间和地点公开开标，并邀请所有投标人代表参</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加。投标人法定代表人或被授权代理人必须参加开标会议，法定代表</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人或被授权代理人出示法人身份证明书或法人授权委托书及有效身</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份证明的原件(格式参照招标文件提供的格式)，以便开标会议上证明</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其身份。以上证件不能出示或不符合要求的，其投标文件将被拒收。</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投标单位参加开标的法定代表人或授权代理人，必须在规定的投</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标文件递交截止时间前到达现场签到,否则将拒收投标文件。</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投标企业提供的以上材料须真实可靠，如有弄虚作假，一经发现查实，将不予退还投标保证金，取消投（中）标资格，并在发布招标文件的网站上公示。</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4、开标由招标方项目负责人主持，并按规定的程序进行：</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5、下列情况之一者招标方拒收投标文件：</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5.1投标文件未按招标文件要求密封；</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5.2投标文件送交时间已超过招标文件规定的投标截止时间；</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（二）评标</w:t>
      </w:r>
    </w:p>
    <w:p>
      <w:pPr>
        <w:pStyle w:val="10"/>
        <w:snapToGrid w:val="0"/>
        <w:spacing w:line="360" w:lineRule="auto"/>
        <w:jc w:val="left"/>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1、评标工作由招标单位依法组建的评标委员会负责，评标委员会</w:t>
      </w:r>
      <w:r>
        <w:rPr>
          <w:rFonts w:hint="eastAsia" w:ascii="宋体" w:hAnsi="宋体" w:cs="宋体"/>
          <w:kern w:val="2"/>
          <w:sz w:val="28"/>
          <w:szCs w:val="28"/>
          <w:lang w:val="en-US" w:eastAsia="zh-CN" w:bidi="ar-SA"/>
        </w:rPr>
        <w:t>成</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员</w:t>
      </w:r>
      <w:r>
        <w:rPr>
          <w:rFonts w:hint="eastAsia" w:ascii="宋体" w:hAnsi="宋体" w:eastAsia="宋体" w:cs="宋体"/>
          <w:kern w:val="2"/>
          <w:sz w:val="28"/>
          <w:szCs w:val="28"/>
          <w:lang w:val="en-US" w:eastAsia="zh-CN" w:bidi="ar-SA"/>
        </w:rPr>
        <w:t>随机选取，评委会推举一名组长。招标人招标管理人员和纪律检查</w:t>
      </w:r>
    </w:p>
    <w:p>
      <w:pPr>
        <w:pStyle w:val="10"/>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kern w:val="2"/>
          <w:sz w:val="28"/>
          <w:szCs w:val="28"/>
          <w:lang w:val="en-US" w:eastAsia="zh-CN" w:bidi="ar-SA"/>
        </w:rPr>
        <w:t>人员全程监督。</w:t>
      </w:r>
      <w:r>
        <w:rPr>
          <w:rFonts w:hint="eastAsia" w:ascii="华文仿宋" w:hAnsi="华文仿宋" w:cs="宋体"/>
          <w:color w:val="000000" w:themeColor="text1"/>
          <w:sz w:val="28"/>
          <w:szCs w:val="28"/>
          <w14:textFill>
            <w14:solidFill>
              <w14:schemeClr w14:val="tx1"/>
            </w14:solidFill>
          </w14:textFill>
        </w:rPr>
        <w:t>评标委员会对招标文件理解出现偏差或遗漏时，招标</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华文仿宋" w:hAnsi="华文仿宋" w:cs="宋体"/>
          <w:color w:val="000000" w:themeColor="text1"/>
          <w:sz w:val="28"/>
          <w:szCs w:val="28"/>
          <w14:textFill>
            <w14:solidFill>
              <w14:schemeClr w14:val="tx1"/>
            </w14:solidFill>
          </w14:textFill>
        </w:rPr>
        <w:t>管理人员提醒和督促纠正，纪律检查人员负责评标工作秩序的维持。</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评标委员会首先审查投标人资格文件，资格审查合格后，对具备</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实质上响应的投标文件进行评估和比较。</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投标人不得企图向评委及招标方代表施加任何影响，否则将会导致投标作废。</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评标委员会将拒绝被确定为非实质性响应的投标，投标人不能通过修正或撤销不符之处而使其投标成为实质性响应的投标。</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评标采用保密方式进行。</w:t>
      </w:r>
    </w:p>
    <w:p>
      <w:pPr>
        <w:pStyle w:val="10"/>
        <w:numPr>
          <w:ilvl w:val="0"/>
          <w:numId w:val="0"/>
        </w:numPr>
        <w:snapToGrid w:val="0"/>
        <w:spacing w:line="360" w:lineRule="auto"/>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5.2</w:t>
      </w:r>
      <w:r>
        <w:rPr>
          <w:rFonts w:hint="eastAsia" w:ascii="华文仿宋" w:hAnsi="华文仿宋" w:cs="宋体"/>
          <w:color w:val="000000" w:themeColor="text1"/>
          <w:sz w:val="28"/>
          <w:szCs w:val="28"/>
          <w14:textFill>
            <w14:solidFill>
              <w14:schemeClr w14:val="tx1"/>
            </w14:solidFill>
          </w14:textFill>
        </w:rPr>
        <w:t>本次评标采用综合评标法，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5.3</w:t>
      </w:r>
      <w:r>
        <w:rPr>
          <w:rFonts w:hint="eastAsia" w:ascii="华文仿宋" w:hAnsi="华文仿宋" w:cs="宋体"/>
          <w:color w:val="000000" w:themeColor="text1"/>
          <w:sz w:val="28"/>
          <w:szCs w:val="28"/>
          <w14:textFill>
            <w14:solidFill>
              <w14:schemeClr w14:val="tx1"/>
            </w14:solidFill>
          </w14:textFill>
        </w:rPr>
        <w:t>中标人的确定：招标人报请院领导</w:t>
      </w:r>
      <w:r>
        <w:rPr>
          <w:rFonts w:hint="eastAsia" w:ascii="华文仿宋" w:hAnsi="华文仿宋" w:cs="宋体"/>
          <w:color w:val="000000" w:themeColor="text1"/>
          <w:sz w:val="28"/>
          <w:szCs w:val="28"/>
          <w:lang w:eastAsia="zh-CN"/>
          <w14:textFill>
            <w14:solidFill>
              <w14:schemeClr w14:val="tx1"/>
            </w14:solidFill>
          </w14:textFill>
        </w:rPr>
        <w:t>（办公会）</w:t>
      </w:r>
      <w:r>
        <w:rPr>
          <w:rFonts w:hint="eastAsia" w:ascii="华文仿宋" w:hAnsi="华文仿宋" w:cs="宋体"/>
          <w:color w:val="000000" w:themeColor="text1"/>
          <w:sz w:val="28"/>
          <w:szCs w:val="28"/>
          <w14:textFill>
            <w14:solidFill>
              <w14:schemeClr w14:val="tx1"/>
            </w14:solidFill>
          </w14:textFill>
        </w:rPr>
        <w:t>集体确定，从评标</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委员会推荐的中标候选人中确定预中标人，进行不少于</w:t>
      </w:r>
      <w:r>
        <w:rPr>
          <w:rFonts w:ascii="华文仿宋" w:hAnsi="华文仿宋" w:cs="宋体"/>
          <w:color w:val="000000" w:themeColor="text1"/>
          <w:sz w:val="28"/>
          <w:szCs w:val="28"/>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个工作日的</w:t>
      </w:r>
    </w:p>
    <w:p>
      <w:pPr>
        <w:snapToGrid w:val="0"/>
        <w:spacing w:line="360" w:lineRule="auto"/>
        <w:ind w:left="0" w:leftChars="0" w:firstLine="0" w:firstLineChars="0"/>
        <w:jc w:val="left"/>
        <w:rPr>
          <w:rFonts w:hint="eastAsia"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公示</w:t>
      </w:r>
      <w:r>
        <w:rPr>
          <w:rFonts w:hint="eastAsia" w:ascii="华文仿宋" w:hAnsi="华文仿宋" w:cs="宋体"/>
          <w:color w:val="000000" w:themeColor="text1"/>
          <w:sz w:val="28"/>
          <w:szCs w:val="28"/>
          <w:lang w:eastAsia="zh-CN"/>
          <w14:textFill>
            <w14:solidFill>
              <w14:schemeClr w14:val="tx1"/>
            </w14:solidFill>
          </w14:textFill>
        </w:rPr>
        <w:t>。</w:t>
      </w:r>
    </w:p>
    <w:p>
      <w:pPr>
        <w:numPr>
          <w:ilvl w:val="0"/>
          <w:numId w:val="0"/>
        </w:numPr>
        <w:autoSpaceDE w:val="0"/>
        <w:autoSpaceDN w:val="0"/>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评标完成后，评标委员会向招标人提交书面评标报告和推荐2名中标候选人，并按照综合得分由高到低标明排序。</w:t>
      </w:r>
    </w:p>
    <w:p>
      <w:pPr>
        <w:pStyle w:val="10"/>
        <w:snapToGrid w:val="0"/>
        <w:spacing w:line="360" w:lineRule="auto"/>
        <w:jc w:val="left"/>
        <w:rPr>
          <w:rFonts w:hint="eastAsia" w:asciiTheme="minorEastAsia" w:hAnsiTheme="minorEastAsia" w:cstheme="minorEastAsia"/>
          <w:sz w:val="28"/>
          <w:szCs w:val="28"/>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w:t>
      </w:r>
      <w:r>
        <w:rPr>
          <w:rFonts w:hint="eastAsia" w:asciiTheme="minorEastAsia" w:hAnsiTheme="minorEastAsia" w:cstheme="minorEastAsia"/>
          <w:sz w:val="28"/>
          <w:szCs w:val="28"/>
        </w:rPr>
        <w:t>综合评分标准见下表</w:t>
      </w:r>
    </w:p>
    <w:tbl>
      <w:tblPr>
        <w:tblStyle w:val="11"/>
        <w:tblW w:w="9723" w:type="dxa"/>
        <w:tblInd w:w="98" w:type="dxa"/>
        <w:tblLayout w:type="fixed"/>
        <w:tblCellMar>
          <w:top w:w="0" w:type="dxa"/>
          <w:left w:w="108" w:type="dxa"/>
          <w:bottom w:w="0" w:type="dxa"/>
          <w:right w:w="108" w:type="dxa"/>
        </w:tblCellMar>
      </w:tblPr>
      <w:tblGrid>
        <w:gridCol w:w="760"/>
        <w:gridCol w:w="1303"/>
        <w:gridCol w:w="757"/>
        <w:gridCol w:w="6903"/>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1</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投标总报价</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cs="宋体"/>
                <w:kern w:val="0"/>
                <w:sz w:val="25"/>
                <w:szCs w:val="25"/>
                <w:lang w:val="en-US" w:eastAsia="zh-CN"/>
              </w:rPr>
              <w:t>45</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所有通过评审的有效报价，最低报价为评标基准价满分</w:t>
            </w:r>
            <w:r>
              <w:rPr>
                <w:rFonts w:hint="eastAsia" w:ascii="宋体" w:hAnsi="宋体" w:cs="宋体"/>
                <w:kern w:val="0"/>
                <w:sz w:val="25"/>
                <w:szCs w:val="25"/>
                <w:lang w:val="en-US" w:eastAsia="zh-CN"/>
              </w:rPr>
              <w:t>45</w:t>
            </w:r>
            <w:r>
              <w:rPr>
                <w:rFonts w:hint="eastAsia" w:ascii="宋体" w:hAnsi="宋体" w:eastAsia="宋体" w:cs="宋体"/>
                <w:kern w:val="0"/>
                <w:sz w:val="25"/>
                <w:szCs w:val="25"/>
              </w:rPr>
              <w:t>。报价得分=（评标基准价/投标报价）×</w:t>
            </w:r>
            <w:r>
              <w:rPr>
                <w:rFonts w:hint="eastAsia" w:ascii="宋体" w:hAnsi="宋体" w:cs="宋体"/>
                <w:kern w:val="0"/>
                <w:sz w:val="25"/>
                <w:szCs w:val="25"/>
                <w:lang w:val="en-US" w:eastAsia="zh-CN"/>
              </w:rPr>
              <w:t>45</w:t>
            </w:r>
            <w:r>
              <w:rPr>
                <w:rFonts w:hint="eastAsia" w:ascii="宋体" w:hAnsi="宋体" w:eastAsia="宋体" w:cs="宋体"/>
                <w:kern w:val="0"/>
                <w:sz w:val="25"/>
                <w:szCs w:val="25"/>
              </w:rPr>
              <w:t>。</w:t>
            </w:r>
          </w:p>
        </w:tc>
      </w:tr>
      <w:tr>
        <w:tblPrEx>
          <w:tblCellMar>
            <w:top w:w="0" w:type="dxa"/>
            <w:left w:w="108" w:type="dxa"/>
            <w:bottom w:w="0" w:type="dxa"/>
            <w:right w:w="108" w:type="dxa"/>
          </w:tblCellMar>
        </w:tblPrEx>
        <w:trPr>
          <w:trHeight w:val="20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2</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综合实力</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cs="宋体"/>
                <w:kern w:val="0"/>
                <w:sz w:val="25"/>
                <w:szCs w:val="25"/>
                <w:lang w:val="en-US" w:eastAsia="zh-CN"/>
              </w:rPr>
              <w:t>6</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bookmarkStart w:id="3" w:name="RANGE!D4"/>
            <w:bookmarkEnd w:id="3"/>
            <w:r>
              <w:rPr>
                <w:rFonts w:hint="eastAsia" w:ascii="宋体" w:hAnsi="宋体" w:eastAsia="宋体" w:cs="宋体"/>
                <w:kern w:val="0"/>
                <w:sz w:val="25"/>
                <w:szCs w:val="25"/>
              </w:rPr>
              <w:t>提供201</w:t>
            </w:r>
            <w:r>
              <w:rPr>
                <w:rFonts w:hint="eastAsia" w:ascii="宋体" w:hAnsi="宋体" w:eastAsia="宋体" w:cs="宋体"/>
                <w:kern w:val="0"/>
                <w:sz w:val="25"/>
                <w:szCs w:val="25"/>
                <w:lang w:val="en-US" w:eastAsia="zh-CN"/>
              </w:rPr>
              <w:t>9</w:t>
            </w:r>
            <w:r>
              <w:rPr>
                <w:rFonts w:hint="eastAsia" w:ascii="宋体" w:hAnsi="宋体" w:eastAsia="宋体" w:cs="宋体"/>
                <w:kern w:val="0"/>
                <w:sz w:val="25"/>
                <w:szCs w:val="25"/>
              </w:rPr>
              <w:t>年1月1日以来的</w:t>
            </w:r>
            <w:r>
              <w:rPr>
                <w:rFonts w:hint="eastAsia" w:ascii="宋体" w:hAnsi="宋体" w:eastAsia="宋体" w:cs="宋体"/>
                <w:kern w:val="0"/>
                <w:sz w:val="25"/>
                <w:szCs w:val="25"/>
                <w:lang w:eastAsia="zh-CN"/>
              </w:rPr>
              <w:t>该</w:t>
            </w:r>
            <w:r>
              <w:rPr>
                <w:rFonts w:hint="eastAsia" w:ascii="宋体" w:hAnsi="宋体" w:eastAsia="宋体" w:cs="宋体"/>
                <w:kern w:val="0"/>
                <w:sz w:val="25"/>
                <w:szCs w:val="25"/>
              </w:rPr>
              <w:t>产品</w:t>
            </w:r>
            <w:r>
              <w:rPr>
                <w:rFonts w:hint="eastAsia" w:ascii="宋体" w:hAnsi="宋体" w:eastAsia="宋体" w:cs="宋体"/>
                <w:kern w:val="0"/>
                <w:sz w:val="25"/>
                <w:szCs w:val="25"/>
                <w:lang w:eastAsia="zh-CN"/>
              </w:rPr>
              <w:t>市场占有</w:t>
            </w:r>
            <w:r>
              <w:rPr>
                <w:rFonts w:hint="eastAsia" w:ascii="宋体" w:hAnsi="宋体" w:eastAsia="宋体" w:cs="宋体"/>
                <w:kern w:val="0"/>
                <w:sz w:val="25"/>
                <w:szCs w:val="25"/>
              </w:rPr>
              <w:t>证明（提供销售合同</w:t>
            </w:r>
            <w:r>
              <w:rPr>
                <w:rFonts w:hint="eastAsia" w:ascii="宋体" w:hAnsi="宋体" w:cs="宋体"/>
                <w:kern w:val="0"/>
                <w:sz w:val="25"/>
                <w:szCs w:val="25"/>
                <w:lang w:eastAsia="zh-CN"/>
              </w:rPr>
              <w:t>扫描件</w:t>
            </w:r>
            <w:r>
              <w:rPr>
                <w:rFonts w:hint="eastAsia" w:ascii="宋体" w:hAnsi="宋体" w:eastAsia="宋体" w:cs="宋体"/>
                <w:kern w:val="0"/>
                <w:sz w:val="25"/>
                <w:szCs w:val="25"/>
              </w:rPr>
              <w:t>和联系电话</w:t>
            </w:r>
            <w:r>
              <w:rPr>
                <w:rFonts w:hint="eastAsia" w:ascii="宋体" w:hAnsi="宋体" w:cs="宋体"/>
                <w:kern w:val="0"/>
                <w:sz w:val="25"/>
                <w:szCs w:val="25"/>
                <w:lang w:eastAsia="zh-CN"/>
              </w:rPr>
              <w:t>，不接受关联公司业绩</w:t>
            </w:r>
            <w:r>
              <w:rPr>
                <w:rFonts w:hint="eastAsia" w:ascii="宋体" w:hAnsi="宋体" w:eastAsia="宋体" w:cs="宋体"/>
                <w:kern w:val="0"/>
                <w:sz w:val="25"/>
                <w:szCs w:val="25"/>
              </w:rPr>
              <w:t>）：</w:t>
            </w:r>
            <w:r>
              <w:rPr>
                <w:rFonts w:hint="eastAsia" w:ascii="宋体" w:hAnsi="宋体" w:cs="宋体"/>
                <w:kern w:val="0"/>
                <w:sz w:val="25"/>
                <w:szCs w:val="25"/>
                <w:lang w:eastAsia="zh-CN"/>
              </w:rPr>
              <w:t>提供</w:t>
            </w:r>
            <w:r>
              <w:rPr>
                <w:rFonts w:hint="eastAsia" w:ascii="宋体" w:hAnsi="宋体" w:eastAsia="宋体" w:cs="宋体"/>
                <w:kern w:val="0"/>
                <w:sz w:val="25"/>
                <w:szCs w:val="25"/>
              </w:rPr>
              <w:t>一份</w:t>
            </w:r>
            <w:r>
              <w:rPr>
                <w:rFonts w:hint="eastAsia" w:ascii="宋体" w:hAnsi="宋体" w:eastAsia="宋体" w:cs="宋体"/>
                <w:kern w:val="0"/>
                <w:sz w:val="25"/>
                <w:szCs w:val="25"/>
                <w:lang w:eastAsia="zh-CN"/>
              </w:rPr>
              <w:t>合同中体现本次招标</w:t>
            </w:r>
            <w:r>
              <w:rPr>
                <w:rFonts w:hint="eastAsia" w:ascii="宋体" w:hAnsi="宋体" w:eastAsia="宋体" w:cs="宋体"/>
                <w:kern w:val="0"/>
                <w:sz w:val="25"/>
                <w:szCs w:val="25"/>
              </w:rPr>
              <w:t>设备</w:t>
            </w:r>
            <w:r>
              <w:rPr>
                <w:rFonts w:hint="eastAsia" w:ascii="宋体" w:hAnsi="宋体" w:eastAsia="宋体" w:cs="宋体"/>
                <w:kern w:val="0"/>
                <w:sz w:val="25"/>
                <w:szCs w:val="25"/>
                <w:lang w:eastAsia="zh-CN"/>
              </w:rPr>
              <w:t>的</w:t>
            </w:r>
            <w:r>
              <w:rPr>
                <w:rFonts w:hint="eastAsia" w:ascii="宋体" w:hAnsi="宋体" w:eastAsia="宋体" w:cs="宋体"/>
                <w:kern w:val="0"/>
                <w:sz w:val="25"/>
                <w:szCs w:val="25"/>
              </w:rPr>
              <w:t>得</w:t>
            </w:r>
            <w:r>
              <w:rPr>
                <w:rFonts w:hint="eastAsia" w:ascii="宋体" w:hAnsi="宋体" w:cs="宋体"/>
                <w:kern w:val="0"/>
                <w:sz w:val="25"/>
                <w:szCs w:val="25"/>
                <w:lang w:val="en-US" w:eastAsia="zh-CN"/>
              </w:rPr>
              <w:t>3</w:t>
            </w:r>
            <w:r>
              <w:rPr>
                <w:rFonts w:hint="eastAsia" w:ascii="宋体" w:hAnsi="宋体" w:eastAsia="宋体" w:cs="宋体"/>
                <w:kern w:val="0"/>
                <w:sz w:val="25"/>
                <w:szCs w:val="25"/>
              </w:rPr>
              <w:t>分，</w:t>
            </w:r>
            <w:r>
              <w:rPr>
                <w:rFonts w:hint="eastAsia" w:ascii="宋体" w:hAnsi="宋体" w:cs="宋体"/>
                <w:kern w:val="0"/>
                <w:sz w:val="25"/>
                <w:szCs w:val="25"/>
                <w:lang w:eastAsia="zh-CN"/>
              </w:rPr>
              <w:t>每多一份加</w:t>
            </w:r>
            <w:r>
              <w:rPr>
                <w:rFonts w:hint="eastAsia" w:ascii="宋体" w:hAnsi="宋体" w:cs="宋体"/>
                <w:kern w:val="0"/>
                <w:sz w:val="25"/>
                <w:szCs w:val="25"/>
                <w:lang w:val="en-US" w:eastAsia="zh-CN"/>
              </w:rPr>
              <w:t>1分，</w:t>
            </w:r>
            <w:r>
              <w:rPr>
                <w:rFonts w:hint="eastAsia" w:ascii="宋体" w:hAnsi="宋体" w:eastAsia="宋体" w:cs="宋体"/>
                <w:kern w:val="0"/>
                <w:sz w:val="25"/>
                <w:szCs w:val="25"/>
              </w:rPr>
              <w:t>最高</w:t>
            </w:r>
            <w:r>
              <w:rPr>
                <w:rFonts w:hint="eastAsia" w:ascii="宋体" w:hAnsi="宋体" w:cs="宋体"/>
                <w:kern w:val="0"/>
                <w:sz w:val="25"/>
                <w:szCs w:val="25"/>
                <w:lang w:eastAsia="zh-CN"/>
              </w:rPr>
              <w:t>得</w:t>
            </w:r>
            <w:r>
              <w:rPr>
                <w:rFonts w:hint="eastAsia" w:ascii="宋体" w:hAnsi="宋体" w:cs="宋体"/>
                <w:kern w:val="0"/>
                <w:sz w:val="25"/>
                <w:szCs w:val="25"/>
                <w:lang w:val="en-US" w:eastAsia="zh-CN"/>
              </w:rPr>
              <w:t>6</w:t>
            </w:r>
            <w:r>
              <w:rPr>
                <w:rFonts w:hint="eastAsia" w:ascii="宋体" w:hAnsi="宋体" w:eastAsia="宋体" w:cs="宋体"/>
                <w:kern w:val="0"/>
                <w:sz w:val="25"/>
                <w:szCs w:val="25"/>
              </w:rPr>
              <w:t>分。</w:t>
            </w:r>
          </w:p>
        </w:tc>
      </w:tr>
      <w:tr>
        <w:tblPrEx>
          <w:tblCellMar>
            <w:top w:w="0" w:type="dxa"/>
            <w:left w:w="108" w:type="dxa"/>
            <w:bottom w:w="0" w:type="dxa"/>
            <w:right w:w="108" w:type="dxa"/>
          </w:tblCellMar>
        </w:tblPrEx>
        <w:trPr>
          <w:trHeight w:val="137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3</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eastAsia="zh-CN"/>
              </w:rPr>
            </w:pPr>
            <w:r>
              <w:rPr>
                <w:rFonts w:hint="eastAsia" w:ascii="宋体" w:hAnsi="宋体" w:eastAsia="宋体" w:cs="宋体"/>
                <w:kern w:val="0"/>
                <w:sz w:val="25"/>
                <w:szCs w:val="25"/>
                <w:lang w:eastAsia="zh-CN"/>
              </w:rPr>
              <w:t>产品配置</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cs="宋体"/>
                <w:kern w:val="0"/>
                <w:sz w:val="25"/>
                <w:szCs w:val="25"/>
                <w:lang w:val="en-US" w:eastAsia="zh-CN"/>
              </w:rPr>
              <w:t>19</w:t>
            </w:r>
          </w:p>
        </w:tc>
        <w:tc>
          <w:tcPr>
            <w:tcW w:w="6903" w:type="dxa"/>
            <w:tcBorders>
              <w:top w:val="single" w:color="auto" w:sz="4" w:space="0"/>
              <w:left w:val="single" w:color="auto" w:sz="4" w:space="0"/>
              <w:bottom w:val="single" w:color="auto" w:sz="4" w:space="0"/>
              <w:right w:val="single" w:color="auto" w:sz="4" w:space="0"/>
            </w:tcBorders>
            <w:vAlign w:val="top"/>
          </w:tcPr>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eastAsia="宋体" w:cs="宋体"/>
                <w:kern w:val="0"/>
                <w:sz w:val="25"/>
                <w:szCs w:val="25"/>
                <w:lang w:eastAsia="zh-CN"/>
              </w:rPr>
              <w:t>所</w:t>
            </w:r>
            <w:r>
              <w:rPr>
                <w:rFonts w:hint="eastAsia" w:ascii="宋体" w:hAnsi="宋体" w:eastAsia="宋体" w:cs="宋体"/>
                <w:kern w:val="0"/>
                <w:sz w:val="25"/>
                <w:szCs w:val="25"/>
              </w:rPr>
              <w:t>提供</w:t>
            </w:r>
            <w:r>
              <w:rPr>
                <w:rFonts w:hint="eastAsia" w:ascii="宋体" w:hAnsi="宋体" w:eastAsia="宋体" w:cs="宋体"/>
                <w:kern w:val="0"/>
                <w:sz w:val="25"/>
                <w:szCs w:val="25"/>
                <w:lang w:eastAsia="zh-CN"/>
              </w:rPr>
              <w:t>设备产品，在</w:t>
            </w:r>
            <w:r>
              <w:rPr>
                <w:rFonts w:hint="eastAsia" w:ascii="宋体" w:hAnsi="宋体" w:eastAsia="宋体" w:cs="宋体"/>
                <w:kern w:val="0"/>
                <w:sz w:val="25"/>
                <w:szCs w:val="25"/>
                <w:lang w:val="en-US" w:eastAsia="zh-CN"/>
              </w:rPr>
              <w:t>四</w:t>
            </w:r>
            <w:r>
              <w:rPr>
                <w:rFonts w:hint="eastAsia" w:ascii="宋体" w:hAnsi="宋体" w:eastAsia="宋体" w:cs="宋体"/>
                <w:kern w:val="0"/>
                <w:sz w:val="25"/>
                <w:szCs w:val="25"/>
                <w:lang w:eastAsia="zh-CN"/>
              </w:rPr>
              <w:t>通道基础上（</w:t>
            </w:r>
            <w:r>
              <w:rPr>
                <w:rFonts w:hint="eastAsia" w:ascii="宋体" w:hAnsi="宋体" w:eastAsia="宋体" w:cs="宋体"/>
                <w:kern w:val="0"/>
                <w:sz w:val="25"/>
                <w:szCs w:val="25"/>
                <w:lang w:val="en-US" w:eastAsia="zh-CN"/>
              </w:rPr>
              <w:t>四</w:t>
            </w:r>
            <w:r>
              <w:rPr>
                <w:rFonts w:hint="eastAsia" w:ascii="宋体" w:hAnsi="宋体" w:eastAsia="宋体" w:cs="宋体"/>
                <w:kern w:val="0"/>
                <w:sz w:val="25"/>
                <w:szCs w:val="25"/>
                <w:lang w:eastAsia="zh-CN"/>
              </w:rPr>
              <w:t>通道</w:t>
            </w:r>
            <w:r>
              <w:rPr>
                <w:rFonts w:hint="eastAsia" w:ascii="宋体" w:hAnsi="宋体" w:eastAsia="宋体" w:cs="宋体"/>
                <w:kern w:val="0"/>
                <w:sz w:val="25"/>
                <w:szCs w:val="25"/>
                <w:lang w:val="en-US" w:eastAsia="zh-CN"/>
              </w:rPr>
              <w:t>12</w:t>
            </w:r>
            <w:r>
              <w:rPr>
                <w:rFonts w:hint="eastAsia" w:ascii="宋体" w:hAnsi="宋体" w:eastAsia="宋体" w:cs="宋体"/>
                <w:kern w:val="0"/>
                <w:sz w:val="25"/>
                <w:szCs w:val="25"/>
                <w:lang w:eastAsia="zh-CN"/>
              </w:rPr>
              <w:t>分），</w:t>
            </w:r>
            <w:r>
              <w:rPr>
                <w:rFonts w:hint="eastAsia" w:ascii="宋体" w:hAnsi="宋体" w:eastAsia="宋体" w:cs="宋体"/>
                <w:kern w:val="0"/>
                <w:sz w:val="25"/>
                <w:szCs w:val="25"/>
                <w:lang w:val="en-US" w:eastAsia="zh-CN"/>
              </w:rPr>
              <w:t>六通道</w:t>
            </w:r>
          </w:p>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cs="宋体"/>
                <w:kern w:val="0"/>
                <w:sz w:val="25"/>
                <w:szCs w:val="25"/>
                <w:lang w:val="en-US" w:eastAsia="zh-CN"/>
              </w:rPr>
              <w:t>19</w:t>
            </w:r>
            <w:r>
              <w:rPr>
                <w:rFonts w:hint="eastAsia" w:ascii="宋体" w:hAnsi="宋体" w:eastAsia="宋体" w:cs="宋体"/>
                <w:kern w:val="0"/>
                <w:sz w:val="25"/>
                <w:szCs w:val="25"/>
                <w:lang w:val="en-US" w:eastAsia="zh-CN"/>
              </w:rPr>
              <w:t>分，最高为</w:t>
            </w:r>
            <w:r>
              <w:rPr>
                <w:rFonts w:hint="eastAsia" w:ascii="宋体" w:hAnsi="宋体" w:cs="宋体"/>
                <w:kern w:val="0"/>
                <w:sz w:val="25"/>
                <w:szCs w:val="25"/>
                <w:lang w:val="en-US" w:eastAsia="zh-CN"/>
              </w:rPr>
              <w:t>19</w:t>
            </w:r>
            <w:r>
              <w:rPr>
                <w:rFonts w:hint="eastAsia" w:ascii="宋体" w:hAnsi="宋体" w:eastAsia="宋体" w:cs="宋体"/>
                <w:kern w:val="0"/>
                <w:sz w:val="25"/>
                <w:szCs w:val="25"/>
                <w:lang w:val="en-US" w:eastAsia="zh-CN"/>
              </w:rPr>
              <w:t>分。</w:t>
            </w:r>
          </w:p>
        </w:tc>
      </w:tr>
      <w:tr>
        <w:tblPrEx>
          <w:tblCellMar>
            <w:top w:w="0" w:type="dxa"/>
            <w:left w:w="108" w:type="dxa"/>
            <w:bottom w:w="0" w:type="dxa"/>
            <w:right w:w="108" w:type="dxa"/>
          </w:tblCellMar>
        </w:tblPrEx>
        <w:trPr>
          <w:trHeight w:val="1988" w:hRule="atLeast"/>
        </w:trPr>
        <w:tc>
          <w:tcPr>
            <w:tcW w:w="760" w:type="dxa"/>
            <w:tcBorders>
              <w:top w:val="single" w:color="auto" w:sz="4" w:space="0"/>
              <w:left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4</w:t>
            </w:r>
          </w:p>
          <w:p>
            <w:pPr>
              <w:widowControl/>
              <w:ind w:left="0" w:firstLine="0" w:firstLineChars="0"/>
              <w:jc w:val="left"/>
              <w:rPr>
                <w:rFonts w:hint="eastAsia" w:ascii="宋体" w:hAnsi="宋体" w:eastAsia="宋体" w:cs="宋体"/>
                <w:kern w:val="0"/>
                <w:sz w:val="25"/>
                <w:szCs w:val="25"/>
              </w:rPr>
            </w:pPr>
          </w:p>
        </w:tc>
        <w:tc>
          <w:tcPr>
            <w:tcW w:w="1303" w:type="dxa"/>
            <w:tcBorders>
              <w:top w:val="single" w:color="auto" w:sz="4" w:space="0"/>
              <w:left w:val="nil"/>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技术性能</w:t>
            </w:r>
          </w:p>
          <w:p>
            <w:pPr>
              <w:widowControl/>
              <w:ind w:left="0" w:firstLine="0" w:firstLineChars="0"/>
              <w:jc w:val="left"/>
              <w:rPr>
                <w:rFonts w:hint="eastAsia" w:ascii="宋体" w:hAnsi="宋体" w:eastAsia="宋体" w:cs="宋体"/>
                <w:kern w:val="0"/>
                <w:sz w:val="25"/>
                <w:szCs w:val="25"/>
              </w:rPr>
            </w:pPr>
          </w:p>
        </w:tc>
        <w:tc>
          <w:tcPr>
            <w:tcW w:w="757" w:type="dxa"/>
            <w:tcBorders>
              <w:top w:val="single" w:color="auto" w:sz="4" w:space="0"/>
              <w:left w:val="nil"/>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cs="宋体"/>
                <w:kern w:val="0"/>
                <w:sz w:val="25"/>
                <w:szCs w:val="25"/>
                <w:lang w:val="en-US" w:eastAsia="zh-CN"/>
              </w:rPr>
              <w:t>10</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eastAsia="zh-CN"/>
              </w:rPr>
            </w:pPr>
            <w:r>
              <w:rPr>
                <w:rFonts w:hint="eastAsia" w:ascii="宋体" w:hAnsi="宋体" w:eastAsia="宋体" w:cs="宋体"/>
                <w:kern w:val="0"/>
                <w:sz w:val="25"/>
                <w:szCs w:val="25"/>
                <w:lang w:val="en-US" w:eastAsia="zh-CN"/>
              </w:rPr>
              <w:t>各投标人所提供产品的技术参数完全响应得10分。*号参数不满足招标文件技术参数要求的一个扣2分，扣完为止。（*号参数需提供支撑证明材料）</w:t>
            </w:r>
          </w:p>
        </w:tc>
      </w:tr>
      <w:tr>
        <w:tblPrEx>
          <w:tblCellMar>
            <w:top w:w="0" w:type="dxa"/>
            <w:left w:w="108" w:type="dxa"/>
            <w:bottom w:w="0" w:type="dxa"/>
            <w:right w:w="108" w:type="dxa"/>
          </w:tblCellMar>
        </w:tblPrEx>
        <w:trPr>
          <w:trHeight w:val="9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6</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eastAsia="zh-CN"/>
              </w:rPr>
            </w:pPr>
            <w:r>
              <w:rPr>
                <w:rFonts w:hint="eastAsia" w:ascii="宋体" w:hAnsi="宋体" w:eastAsia="宋体" w:cs="宋体"/>
                <w:kern w:val="0"/>
                <w:sz w:val="25"/>
                <w:szCs w:val="25"/>
                <w:lang w:eastAsia="zh-CN"/>
              </w:rPr>
              <w:t>质保期承诺</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cs="宋体"/>
                <w:kern w:val="0"/>
                <w:sz w:val="25"/>
                <w:szCs w:val="25"/>
                <w:lang w:val="en-US" w:eastAsia="zh-CN"/>
              </w:rPr>
              <w:t>15</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eastAsia="宋体" w:cs="宋体"/>
                <w:kern w:val="0"/>
                <w:sz w:val="25"/>
                <w:szCs w:val="25"/>
              </w:rPr>
              <w:t>整机</w:t>
            </w:r>
            <w:r>
              <w:rPr>
                <w:rFonts w:hint="eastAsia" w:ascii="宋体" w:hAnsi="宋体" w:eastAsia="宋体" w:cs="宋体"/>
                <w:kern w:val="0"/>
                <w:sz w:val="25"/>
                <w:szCs w:val="25"/>
                <w:lang w:eastAsia="zh-CN"/>
              </w:rPr>
              <w:t>质保期</w:t>
            </w:r>
            <w:r>
              <w:rPr>
                <w:rFonts w:hint="eastAsia" w:ascii="宋体" w:hAnsi="宋体" w:eastAsia="宋体" w:cs="宋体"/>
                <w:kern w:val="0"/>
                <w:sz w:val="25"/>
                <w:szCs w:val="25"/>
              </w:rPr>
              <w:t>承诺：承诺</w:t>
            </w:r>
            <w:r>
              <w:rPr>
                <w:rFonts w:hint="eastAsia" w:ascii="宋体" w:hAnsi="宋体" w:eastAsia="宋体" w:cs="宋体"/>
                <w:kern w:val="0"/>
                <w:sz w:val="25"/>
                <w:szCs w:val="25"/>
                <w:lang w:eastAsia="zh-CN"/>
              </w:rPr>
              <w:t>质保期</w:t>
            </w:r>
            <w:r>
              <w:rPr>
                <w:rFonts w:hint="eastAsia" w:ascii="宋体" w:hAnsi="宋体" w:cs="宋体"/>
                <w:kern w:val="0"/>
                <w:sz w:val="25"/>
                <w:szCs w:val="25"/>
                <w:lang w:val="en-US" w:eastAsia="zh-CN"/>
              </w:rPr>
              <w:t>1</w:t>
            </w:r>
            <w:r>
              <w:rPr>
                <w:rFonts w:hint="eastAsia" w:ascii="宋体" w:hAnsi="宋体" w:eastAsia="宋体" w:cs="宋体"/>
                <w:kern w:val="0"/>
                <w:sz w:val="25"/>
                <w:szCs w:val="25"/>
              </w:rPr>
              <w:t>年</w:t>
            </w:r>
            <w:r>
              <w:rPr>
                <w:rFonts w:hint="eastAsia" w:ascii="宋体" w:hAnsi="宋体" w:cs="宋体"/>
                <w:kern w:val="0"/>
                <w:sz w:val="25"/>
                <w:szCs w:val="25"/>
                <w:lang w:eastAsia="zh-CN"/>
              </w:rPr>
              <w:t>得</w:t>
            </w:r>
            <w:r>
              <w:rPr>
                <w:rFonts w:hint="eastAsia" w:ascii="宋体" w:hAnsi="宋体" w:cs="宋体"/>
                <w:kern w:val="0"/>
                <w:sz w:val="25"/>
                <w:szCs w:val="25"/>
                <w:lang w:val="en-US" w:eastAsia="zh-CN"/>
              </w:rPr>
              <w:t>1</w:t>
            </w:r>
            <w:r>
              <w:rPr>
                <w:rFonts w:hint="eastAsia" w:ascii="宋体" w:hAnsi="宋体" w:eastAsia="宋体" w:cs="宋体"/>
                <w:kern w:val="0"/>
                <w:sz w:val="25"/>
                <w:szCs w:val="25"/>
                <w:lang w:eastAsia="zh-CN"/>
              </w:rPr>
              <w:t>分</w:t>
            </w:r>
            <w:r>
              <w:rPr>
                <w:rFonts w:hint="eastAsia" w:ascii="宋体" w:hAnsi="宋体" w:eastAsia="宋体" w:cs="宋体"/>
                <w:kern w:val="0"/>
                <w:sz w:val="25"/>
                <w:szCs w:val="25"/>
              </w:rPr>
              <w:t>，</w:t>
            </w:r>
            <w:r>
              <w:rPr>
                <w:rFonts w:hint="eastAsia" w:ascii="宋体" w:hAnsi="宋体" w:cs="宋体"/>
                <w:kern w:val="0"/>
                <w:sz w:val="25"/>
                <w:szCs w:val="25"/>
                <w:lang w:eastAsia="zh-CN"/>
              </w:rPr>
              <w:t>两年得</w:t>
            </w:r>
            <w:r>
              <w:rPr>
                <w:rFonts w:hint="eastAsia" w:ascii="宋体" w:hAnsi="宋体" w:cs="宋体"/>
                <w:kern w:val="0"/>
                <w:sz w:val="25"/>
                <w:szCs w:val="25"/>
                <w:lang w:val="en-US" w:eastAsia="zh-CN"/>
              </w:rPr>
              <w:t>5分，三年得15分。</w:t>
            </w:r>
          </w:p>
        </w:tc>
      </w:tr>
      <w:tr>
        <w:tblPrEx>
          <w:tblCellMar>
            <w:top w:w="0" w:type="dxa"/>
            <w:left w:w="108" w:type="dxa"/>
            <w:bottom w:w="0" w:type="dxa"/>
            <w:right w:w="108" w:type="dxa"/>
          </w:tblCellMar>
        </w:tblPrEx>
        <w:trPr>
          <w:trHeight w:val="122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eastAsia="宋体" w:cs="宋体"/>
                <w:kern w:val="0"/>
                <w:sz w:val="25"/>
                <w:szCs w:val="25"/>
              </w:rPr>
              <w:t>7</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eastAsia="宋体" w:cs="宋体"/>
                <w:kern w:val="0"/>
                <w:sz w:val="25"/>
                <w:szCs w:val="25"/>
                <w:lang w:val="en-US" w:eastAsia="zh-CN"/>
              </w:rPr>
              <w:t>售后响应</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default" w:ascii="宋体" w:hAnsi="宋体" w:eastAsia="宋体" w:cs="宋体"/>
                <w:kern w:val="0"/>
                <w:sz w:val="25"/>
                <w:szCs w:val="25"/>
                <w:lang w:val="en-US" w:eastAsia="zh-CN"/>
              </w:rPr>
            </w:pPr>
            <w:r>
              <w:rPr>
                <w:rFonts w:hint="eastAsia" w:ascii="宋体" w:hAnsi="宋体" w:cs="宋体"/>
                <w:kern w:val="0"/>
                <w:sz w:val="25"/>
                <w:szCs w:val="25"/>
                <w:lang w:val="en-US" w:eastAsia="zh-CN"/>
              </w:rPr>
              <w:t>3</w:t>
            </w:r>
          </w:p>
        </w:tc>
        <w:tc>
          <w:tcPr>
            <w:tcW w:w="6903"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eastAsia="宋体" w:cs="宋体"/>
                <w:kern w:val="0"/>
                <w:sz w:val="25"/>
                <w:szCs w:val="25"/>
              </w:rPr>
              <w:t>承诺维修人员2小时响应得1分，24小时内到达现场得2分，48小时修复得</w:t>
            </w:r>
            <w:r>
              <w:rPr>
                <w:rFonts w:hint="eastAsia" w:ascii="宋体" w:hAnsi="宋体" w:cs="宋体"/>
                <w:kern w:val="0"/>
                <w:sz w:val="25"/>
                <w:szCs w:val="25"/>
                <w:lang w:val="en-US" w:eastAsia="zh-CN"/>
              </w:rPr>
              <w:t>3</w:t>
            </w:r>
            <w:r>
              <w:rPr>
                <w:rFonts w:hint="eastAsia" w:ascii="宋体" w:hAnsi="宋体" w:eastAsia="宋体" w:cs="宋体"/>
                <w:kern w:val="0"/>
                <w:sz w:val="25"/>
                <w:szCs w:val="25"/>
              </w:rPr>
              <w:t>分。</w:t>
            </w:r>
          </w:p>
        </w:tc>
      </w:tr>
      <w:tr>
        <w:tblPrEx>
          <w:tblCellMar>
            <w:top w:w="0" w:type="dxa"/>
            <w:left w:w="108" w:type="dxa"/>
            <w:bottom w:w="0" w:type="dxa"/>
            <w:right w:w="108" w:type="dxa"/>
          </w:tblCellMar>
        </w:tblPrEx>
        <w:trPr>
          <w:trHeight w:val="772"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eastAsia="宋体" w:cs="宋体"/>
                <w:kern w:val="0"/>
                <w:sz w:val="25"/>
                <w:szCs w:val="25"/>
                <w:lang w:val="en-US" w:eastAsia="zh-CN"/>
              </w:rPr>
              <w:t>8</w:t>
            </w:r>
          </w:p>
        </w:tc>
        <w:tc>
          <w:tcPr>
            <w:tcW w:w="1303"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培训</w:t>
            </w:r>
          </w:p>
        </w:tc>
        <w:tc>
          <w:tcPr>
            <w:tcW w:w="757"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lang w:val="en-US" w:eastAsia="zh-CN"/>
              </w:rPr>
            </w:pPr>
            <w:r>
              <w:rPr>
                <w:rFonts w:hint="eastAsia" w:ascii="宋体" w:hAnsi="宋体" w:cs="宋体"/>
                <w:kern w:val="0"/>
                <w:sz w:val="25"/>
                <w:szCs w:val="25"/>
                <w:lang w:val="en-US" w:eastAsia="zh-CN"/>
              </w:rPr>
              <w:t>2</w:t>
            </w:r>
          </w:p>
        </w:tc>
        <w:tc>
          <w:tcPr>
            <w:tcW w:w="6903"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现场对医师培训得</w:t>
            </w:r>
            <w:r>
              <w:rPr>
                <w:rFonts w:hint="eastAsia" w:ascii="宋体" w:hAnsi="宋体" w:cs="宋体"/>
                <w:kern w:val="0"/>
                <w:sz w:val="25"/>
                <w:szCs w:val="25"/>
                <w:lang w:val="en-US" w:eastAsia="zh-CN"/>
              </w:rPr>
              <w:t>2</w:t>
            </w:r>
            <w:r>
              <w:rPr>
                <w:rFonts w:hint="eastAsia" w:ascii="宋体" w:hAnsi="宋体" w:eastAsia="宋体" w:cs="宋体"/>
                <w:kern w:val="0"/>
                <w:sz w:val="25"/>
                <w:szCs w:val="25"/>
              </w:rPr>
              <w:t>分，无培训得0分。</w:t>
            </w:r>
          </w:p>
        </w:tc>
      </w:tr>
      <w:tr>
        <w:tblPrEx>
          <w:tblCellMar>
            <w:top w:w="0" w:type="dxa"/>
            <w:left w:w="108" w:type="dxa"/>
            <w:bottom w:w="0" w:type="dxa"/>
            <w:right w:w="108" w:type="dxa"/>
          </w:tblCellMar>
        </w:tblPrEx>
        <w:trPr>
          <w:trHeight w:val="528"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9</w:t>
            </w:r>
          </w:p>
        </w:tc>
        <w:tc>
          <w:tcPr>
            <w:tcW w:w="1303"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合计</w:t>
            </w:r>
          </w:p>
        </w:tc>
        <w:tc>
          <w:tcPr>
            <w:tcW w:w="757"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100</w:t>
            </w:r>
          </w:p>
        </w:tc>
        <w:tc>
          <w:tcPr>
            <w:tcW w:w="6903" w:type="dxa"/>
            <w:tcBorders>
              <w:top w:val="nil"/>
              <w:left w:val="nil"/>
              <w:bottom w:val="single" w:color="auto" w:sz="4" w:space="0"/>
              <w:right w:val="single" w:color="auto" w:sz="4" w:space="0"/>
            </w:tcBorders>
            <w:vAlign w:val="center"/>
          </w:tcPr>
          <w:p>
            <w:pPr>
              <w:widowControl/>
              <w:ind w:left="0" w:firstLine="0" w:firstLineChars="0"/>
              <w:jc w:val="left"/>
              <w:rPr>
                <w:rFonts w:hint="eastAsia" w:ascii="宋体" w:hAnsi="宋体" w:eastAsia="宋体" w:cs="宋体"/>
                <w:kern w:val="0"/>
                <w:sz w:val="25"/>
                <w:szCs w:val="25"/>
              </w:rPr>
            </w:pPr>
            <w:r>
              <w:rPr>
                <w:rFonts w:hint="eastAsia" w:ascii="宋体" w:hAnsi="宋体" w:eastAsia="宋体" w:cs="宋体"/>
                <w:kern w:val="0"/>
                <w:sz w:val="25"/>
                <w:szCs w:val="25"/>
              </w:rPr>
              <w:t>　</w:t>
            </w:r>
          </w:p>
        </w:tc>
      </w:tr>
    </w:tbl>
    <w:p>
      <w:pPr>
        <w:keepNext w:val="0"/>
        <w:keepLines w:val="0"/>
        <w:pageBreakBefore w:val="0"/>
        <w:numPr>
          <w:ilvl w:val="0"/>
          <w:numId w:val="0"/>
        </w:numPr>
        <w:kinsoku/>
        <w:wordWrap/>
        <w:overflowPunct/>
        <w:topLinePunct w:val="0"/>
        <w:bidi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w:t>
      </w:r>
      <w:r>
        <w:rPr>
          <w:rFonts w:hint="eastAsia" w:asciiTheme="minorEastAsia" w:hAnsiTheme="minorEastAsia" w:eastAsiaTheme="minorEastAsia" w:cstheme="minorEastAsia"/>
          <w:color w:val="auto"/>
          <w:sz w:val="28"/>
          <w:szCs w:val="28"/>
          <w:lang w:eastAsia="zh-CN"/>
        </w:rPr>
        <w:t>由招标人</w:t>
      </w:r>
      <w:r>
        <w:rPr>
          <w:rFonts w:hint="eastAsia" w:asciiTheme="minorEastAsia" w:hAnsiTheme="minorEastAsia" w:eastAsiaTheme="minorEastAsia" w:cstheme="minorEastAsia"/>
          <w:color w:val="auto"/>
          <w:sz w:val="28"/>
          <w:szCs w:val="28"/>
        </w:rPr>
        <w:t>确定中标单位，公示</w:t>
      </w:r>
      <w:r>
        <w:rPr>
          <w:rFonts w:hint="eastAsia" w:asciiTheme="minorEastAsia" w:hAnsiTheme="minorEastAsia" w:eastAsiaTheme="minorEastAsia" w:cstheme="minorEastAsia"/>
          <w:color w:val="auto"/>
          <w:sz w:val="28"/>
          <w:szCs w:val="28"/>
          <w:lang w:eastAsia="zh-CN"/>
        </w:rPr>
        <w:t>结</w:t>
      </w:r>
    </w:p>
    <w:p>
      <w:pPr>
        <w:snapToGrid w:val="0"/>
        <w:spacing w:line="360" w:lineRule="auto"/>
        <w:jc w:val="left"/>
        <w:rPr>
          <w:rFonts w:hint="eastAsia" w:ascii="华文仿宋" w:hAnsi="华文仿宋" w:cs="宋体"/>
          <w:color w:val="auto"/>
          <w:sz w:val="28"/>
          <w:szCs w:val="28"/>
        </w:rPr>
      </w:pPr>
      <w:r>
        <w:rPr>
          <w:rFonts w:hint="eastAsia" w:asciiTheme="minorEastAsia" w:hAnsiTheme="minorEastAsia" w:eastAsiaTheme="minorEastAsia" w:cstheme="minorEastAsia"/>
          <w:color w:val="auto"/>
          <w:sz w:val="28"/>
          <w:szCs w:val="28"/>
          <w:lang w:eastAsia="zh-CN"/>
        </w:rPr>
        <w:t>束</w:t>
      </w:r>
      <w:r>
        <w:rPr>
          <w:rFonts w:hint="eastAsia" w:asciiTheme="minorEastAsia" w:hAnsiTheme="minorEastAsia" w:eastAsiaTheme="minorEastAsia" w:cstheme="minorEastAsia"/>
          <w:color w:val="auto"/>
          <w:sz w:val="28"/>
          <w:szCs w:val="28"/>
        </w:rPr>
        <w:t>后发出中标通知书。</w:t>
      </w: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pStyle w:val="2"/>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w:t>
      </w:r>
      <w:r>
        <w:rPr>
          <w:rFonts w:hint="eastAsia" w:asciiTheme="minorEastAsia" w:hAnsiTheme="minorEastAsia" w:eastAsiaTheme="minorEastAsia" w:cstheme="minorEastAsia"/>
          <w:sz w:val="28"/>
          <w:szCs w:val="28"/>
          <w:lang w:eastAsia="zh-CN"/>
        </w:rPr>
        <w:t>设备</w:t>
      </w:r>
      <w:r>
        <w:rPr>
          <w:rFonts w:hint="eastAsia" w:asciiTheme="minorEastAsia" w:hAnsiTheme="minorEastAsia" w:eastAsiaTheme="minorEastAsia" w:cstheme="minorEastAsia"/>
          <w:sz w:val="28"/>
          <w:szCs w:val="28"/>
        </w:rPr>
        <w:t>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元（价款大写）</w:t>
      </w:r>
    </w:p>
    <w:p>
      <w:pPr>
        <w:keepNext w:val="0"/>
        <w:keepLines w:val="0"/>
        <w:pageBreakBefore w:val="0"/>
        <w:kinsoku/>
        <w:wordWrap/>
        <w:overflowPunct/>
        <w:topLinePunct w:val="0"/>
        <w:bidi w:val="0"/>
        <w:snapToGrid w:val="0"/>
        <w:spacing w:beforeAutospacing="0" w:afterAutospacing="0" w:line="360" w:lineRule="auto"/>
        <w:ind w:left="1662" w:leftChars="266" w:hanging="1103" w:hangingChars="3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天（指供应货物全部运至指定交</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货地点的时间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锁有限公司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安徽省淮北市相山北路3号</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15个工作</w:t>
      </w:r>
      <w:r>
        <w:rPr>
          <w:rFonts w:hint="eastAsia" w:asciiTheme="minorEastAsia" w:hAnsiTheme="minorEastAsia" w:eastAsiaTheme="minorEastAsia" w:cstheme="minorEastAsia"/>
          <w:sz w:val="28"/>
          <w:szCs w:val="28"/>
        </w:rPr>
        <w:t>日内与贵方签订供货合同。如逾期不派代表签约。贵单位有权</w:t>
      </w:r>
      <w:r>
        <w:rPr>
          <w:rFonts w:hint="eastAsia" w:asciiTheme="minorEastAsia" w:hAnsiTheme="minorEastAsia" w:eastAsiaTheme="minorEastAsia" w:cstheme="minorEastAsia"/>
          <w:sz w:val="28"/>
          <w:szCs w:val="28"/>
          <w:lang w:eastAsia="zh-CN"/>
        </w:rPr>
        <w:t>不予退还</w:t>
      </w:r>
      <w:r>
        <w:rPr>
          <w:rFonts w:hint="eastAsia" w:asciiTheme="minorEastAsia" w:hAnsiTheme="minorEastAsia" w:eastAsiaTheme="minorEastAsia" w:cstheme="minorEastAsia"/>
          <w:sz w:val="28"/>
          <w:szCs w:val="28"/>
        </w:rPr>
        <w:t>投标保证金，并视为我方自动放弃中标资格。</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asciiTheme="minorEastAsia" w:hAnsiTheme="minorEastAsia" w:eastAsiaTheme="minorEastAsia" w:cstheme="minorEastAsia"/>
          <w:sz w:val="28"/>
          <w:szCs w:val="28"/>
        </w:rPr>
        <w:t>将构成约束贵我双方的协议。</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宋体" w:hAnsi="宋体"/>
          <w:sz w:val="28"/>
          <w:szCs w:val="28"/>
        </w:rPr>
      </w:pPr>
      <w:r>
        <w:rPr>
          <w:rFonts w:hint="eastAsia" w:asciiTheme="minorEastAsia" w:hAnsiTheme="minorEastAsia" w:eastAsiaTheme="minorEastAsia" w:cstheme="minorEastAsia"/>
          <w:sz w:val="28"/>
          <w:szCs w:val="28"/>
        </w:rPr>
        <w:t>投标人公章</w:t>
      </w:r>
      <w:r>
        <w:rPr>
          <w:rFonts w:hint="eastAsia" w:asciiTheme="minorEastAsia" w:hAnsiTheme="minorEastAsia" w:eastAsiaTheme="minorEastAsia" w:cstheme="minorEastAsia"/>
          <w:sz w:val="28"/>
          <w:szCs w:val="28"/>
          <w:lang w:eastAsia="zh-CN"/>
        </w:rPr>
        <w:t>：</w:t>
      </w:r>
    </w:p>
    <w:p>
      <w:pPr>
        <w:pStyle w:val="3"/>
        <w:spacing w:line="500" w:lineRule="exact"/>
        <w:ind w:left="0"/>
        <w:jc w:val="left"/>
        <w:rPr>
          <w:rFonts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3"/>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p>
    <w:p>
      <w:pPr>
        <w:pStyle w:val="3"/>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3"/>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hint="eastAsia" w:asciiTheme="minorEastAsia" w:hAnsiTheme="minorEastAsia" w:eastAsiaTheme="minorEastAsia" w:cstheme="minorEastAsia"/>
          <w:b/>
          <w:bCs/>
          <w:sz w:val="28"/>
          <w:szCs w:val="28"/>
          <w:lang w:eastAsia="zh-CN"/>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投标设备报价汇总表</w:t>
      </w:r>
    </w:p>
    <w:tbl>
      <w:tblPr>
        <w:tblStyle w:val="11"/>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7" w:firstLineChars="49"/>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2、本表“合计金额”须与“投标报价函”中对应包的“投标报价”相同。</w:t>
      </w:r>
    </w:p>
    <w:p>
      <w:pPr>
        <w:pStyle w:val="14"/>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3、本项和以下各项的“设备名称”要按照“第</w:t>
      </w: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val="0"/>
          <w:bCs w:val="0"/>
          <w:sz w:val="28"/>
          <w:szCs w:val="28"/>
        </w:rPr>
        <w:t>部分，设备采购内容及技术要求。</w:t>
      </w:r>
      <w:r>
        <w:rPr>
          <w:rFonts w:hint="eastAsia" w:asciiTheme="minorEastAsia" w:hAnsiTheme="minorEastAsia" w:eastAsiaTheme="minorEastAsia" w:cstheme="minorEastAsia"/>
          <w:b w:val="0"/>
          <w:bCs w:val="0"/>
          <w:sz w:val="28"/>
          <w:szCs w:val="28"/>
          <w:lang w:eastAsia="zh-CN"/>
        </w:rPr>
        <w:t>设备</w:t>
      </w:r>
      <w:r>
        <w:rPr>
          <w:rFonts w:hint="eastAsia" w:asciiTheme="minorEastAsia" w:hAnsiTheme="minorEastAsia" w:eastAsiaTheme="minorEastAsia" w:cstheme="minorEastAsia"/>
          <w:b w:val="0"/>
          <w:bCs w:val="0"/>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投标设备备品、备件及专用工具清单</w:t>
      </w:r>
    </w:p>
    <w:tbl>
      <w:tblPr>
        <w:tblStyle w:val="11"/>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val="0"/>
          <w:bCs w:val="0"/>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投标报价中不包含的易损件报价表</w:t>
      </w:r>
    </w:p>
    <w:tbl>
      <w:tblPr>
        <w:tblStyle w:val="11"/>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adjustRightInd w:val="0"/>
        <w:snapToGrid w:val="0"/>
        <w:spacing w:line="288" w:lineRule="auto"/>
        <w:ind w:left="0" w:leftChars="0" w:firstLine="0" w:firstLineChars="0"/>
        <w:jc w:val="left"/>
        <w:rPr>
          <w:rFonts w:ascii="Calibri" w:hAnsi="Calibri"/>
          <w:b/>
          <w:bCs/>
          <w:sz w:val="24"/>
          <w:u w:val="single"/>
        </w:rPr>
      </w:pPr>
      <w:r>
        <w:rPr>
          <w:rFonts w:hint="eastAsia" w:ascii="Calibri" w:hAnsi="Calibri"/>
          <w:b/>
          <w:bCs/>
          <w:sz w:val="28"/>
        </w:rPr>
        <w:t>附件（</w:t>
      </w:r>
      <w:r>
        <w:rPr>
          <w:rFonts w:hint="eastAsia"/>
          <w:b/>
          <w:bCs/>
          <w:sz w:val="28"/>
          <w:lang w:eastAsia="zh-CN"/>
        </w:rPr>
        <w:t>五</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pStyle w:val="3"/>
        <w:spacing w:before="63" w:beforeLines="20" w:after="63" w:afterLines="20" w:line="500" w:lineRule="exact"/>
        <w:ind w:firstLine="280" w:firstLineChars="100"/>
        <w:rPr>
          <w:rFonts w:ascii="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hint="eastAsia"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jc w:val="right"/>
        <w:rPr>
          <w:rFonts w:hint="eastAsia" w:ascii="宋体" w:hAnsi="宋体"/>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六</w:t>
      </w:r>
      <w:r>
        <w:rPr>
          <w:rFonts w:hint="eastAsia" w:asciiTheme="minorEastAsia" w:hAnsiTheme="minorEastAsia" w:cstheme="minorEastAsia"/>
          <w:b/>
          <w:bCs/>
          <w:sz w:val="28"/>
          <w:szCs w:val="28"/>
        </w:rPr>
        <w:t>）</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淮北市相王医药连锁有限公司</w:t>
      </w:r>
    </w:p>
    <w:p>
      <w:pPr>
        <w:pStyle w:val="7"/>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w:t>
      </w:r>
      <w:r>
        <w:rPr>
          <w:rFonts w:hint="eastAsia" w:ascii="宋体" w:hAnsi="宋体" w:cs="宋体"/>
          <w:sz w:val="24"/>
          <w:lang w:eastAsia="zh-CN"/>
        </w:rPr>
        <w:t>产</w:t>
      </w:r>
      <w:r>
        <w:rPr>
          <w:rFonts w:hint="eastAsia" w:ascii="宋体" w:hAnsi="宋体" w:cs="宋体"/>
          <w:sz w:val="24"/>
        </w:rPr>
        <w:t>品配送，以本公司的名义签署投标书，进行谈判、签署合同和处理与之有关的一切事宜。</w:t>
      </w:r>
    </w:p>
    <w:p>
      <w:pPr>
        <w:pStyle w:val="3"/>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1"/>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1"/>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5"/>
        <w:tabs>
          <w:tab w:val="left" w:pos="720"/>
        </w:tabs>
        <w:adjustRightInd w:val="0"/>
        <w:snapToGrid w:val="0"/>
        <w:spacing w:before="63" w:beforeLines="20" w:after="63" w:afterLines="20" w:line="540" w:lineRule="exact"/>
        <w:jc w:val="center"/>
        <w:rPr>
          <w:rFonts w:hint="eastAsia" w:eastAsia="宋体"/>
          <w:b w:val="0"/>
          <w:bCs/>
          <w:lang w:eastAsia="zh-CN"/>
        </w:rPr>
        <w:sectPr>
          <w:footerReference r:id="rId6" w:type="first"/>
          <w:footerReference r:id="rId5" w:type="default"/>
          <w:pgSz w:w="11906" w:h="16838"/>
          <w:pgMar w:top="1440" w:right="1803" w:bottom="1440" w:left="1803" w:header="851" w:footer="992" w:gutter="0"/>
          <w:cols w:space="720" w:num="1"/>
          <w:titlePg/>
          <w:docGrid w:type="lines" w:linePitch="315" w:charSpace="0"/>
        </w:sectPr>
      </w:pPr>
      <w:r>
        <w:rPr>
          <w:rFonts w:hint="eastAsia" w:ascii="宋体" w:hAnsi="宋体" w:cs="宋体"/>
          <w:sz w:val="24"/>
          <w:szCs w:val="24"/>
          <w:lang w:val="en-US" w:eastAsia="zh-CN"/>
        </w:rPr>
        <w:t xml:space="preserve">                                  </w:t>
      </w:r>
      <w:r>
        <w:rPr>
          <w:rFonts w:hint="eastAsia" w:ascii="宋体" w:hAnsi="宋体" w:cs="宋体"/>
          <w:b w:val="0"/>
          <w:bCs/>
          <w:sz w:val="24"/>
          <w:szCs w:val="24"/>
        </w:rPr>
        <w:t>授权委托日期：</w:t>
      </w:r>
      <w:r>
        <w:rPr>
          <w:rFonts w:ascii="宋体" w:hAnsi="宋体" w:cs="宋体"/>
          <w:b w:val="0"/>
          <w:bCs/>
          <w:sz w:val="24"/>
          <w:szCs w:val="24"/>
          <w:u w:val="single"/>
        </w:rPr>
        <w:t xml:space="preserve">     </w:t>
      </w:r>
      <w:r>
        <w:rPr>
          <w:rFonts w:hint="eastAsia" w:ascii="宋体" w:hAnsi="宋体" w:cs="宋体"/>
          <w:b w:val="0"/>
          <w:bCs/>
          <w:sz w:val="24"/>
          <w:szCs w:val="24"/>
        </w:rPr>
        <w:t>年</w:t>
      </w:r>
      <w:r>
        <w:rPr>
          <w:rFonts w:ascii="宋体" w:hAnsi="宋体" w:cs="宋体"/>
          <w:b w:val="0"/>
          <w:bCs/>
          <w:sz w:val="24"/>
          <w:szCs w:val="24"/>
        </w:rPr>
        <w:t xml:space="preserve"> </w:t>
      </w:r>
      <w:r>
        <w:rPr>
          <w:rFonts w:ascii="宋体" w:hAnsi="宋体" w:cs="宋体"/>
          <w:b w:val="0"/>
          <w:bCs/>
          <w:sz w:val="24"/>
          <w:szCs w:val="24"/>
          <w:u w:val="single"/>
        </w:rPr>
        <w:t xml:space="preserve">    </w:t>
      </w:r>
      <w:r>
        <w:rPr>
          <w:rFonts w:hint="eastAsia" w:ascii="宋体" w:hAnsi="宋体" w:cs="宋体"/>
          <w:b w:val="0"/>
          <w:bCs/>
          <w:sz w:val="24"/>
          <w:szCs w:val="24"/>
        </w:rPr>
        <w:t>月</w:t>
      </w:r>
      <w:r>
        <w:rPr>
          <w:rFonts w:ascii="宋体" w:hAnsi="宋体" w:cs="宋体"/>
          <w:b w:val="0"/>
          <w:bCs/>
          <w:sz w:val="24"/>
          <w:szCs w:val="24"/>
          <w:u w:val="single"/>
        </w:rPr>
        <w:t xml:space="preserve">     </w:t>
      </w:r>
      <w:r>
        <w:rPr>
          <w:rFonts w:hint="eastAsia" w:ascii="宋体" w:hAnsi="宋体" w:cs="宋体"/>
          <w:b w:val="0"/>
          <w:bCs/>
          <w:sz w:val="24"/>
          <w:szCs w:val="24"/>
          <w:u w:val="single"/>
          <w:lang w:eastAsia="zh-CN"/>
        </w:rPr>
        <w:t>日</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投标设备技术偏离表</w:t>
      </w:r>
    </w:p>
    <w:tbl>
      <w:tblPr>
        <w:tblStyle w:val="11"/>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附件（八）</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新</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的零部件。</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1459"/>
      </w:pPr>
      <w:r>
        <w:separator/>
      </w:r>
    </w:p>
  </w:endnote>
  <w:endnote w:type="continuationSeparator" w:id="1">
    <w:p>
      <w:pPr>
        <w:ind w:hanging="145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1459"/>
      </w:pPr>
      <w:r>
        <w:separator/>
      </w:r>
    </w:p>
  </w:footnote>
  <w:footnote w:type="continuationSeparator" w:id="1">
    <w:p>
      <w:pPr>
        <w:ind w:hanging="145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43F25"/>
    <w:multiLevelType w:val="singleLevel"/>
    <w:tmpl w:val="C1243F25"/>
    <w:lvl w:ilvl="0" w:tentative="0">
      <w:start w:val="9"/>
      <w:numFmt w:val="chineseCounting"/>
      <w:suff w:val="nothing"/>
      <w:lvlText w:val="%1、"/>
      <w:lvlJc w:val="left"/>
      <w:rPr>
        <w:rFonts w:hint="eastAsia"/>
      </w:rPr>
    </w:lvl>
  </w:abstractNum>
  <w:abstractNum w:abstractNumId="1">
    <w:nsid w:val="DD066469"/>
    <w:multiLevelType w:val="singleLevel"/>
    <w:tmpl w:val="DD066469"/>
    <w:lvl w:ilvl="0" w:tentative="0">
      <w:start w:val="1"/>
      <w:numFmt w:val="chineseCounting"/>
      <w:suff w:val="nothing"/>
      <w:lvlText w:val="%1、"/>
      <w:lvlJc w:val="left"/>
      <w:rPr>
        <w:rFonts w:hint="eastAsia"/>
      </w:rPr>
    </w:lvl>
  </w:abstractNum>
  <w:abstractNum w:abstractNumId="2">
    <w:nsid w:val="E7C4C98C"/>
    <w:multiLevelType w:val="singleLevel"/>
    <w:tmpl w:val="E7C4C98C"/>
    <w:lvl w:ilvl="0" w:tentative="0">
      <w:start w:val="2"/>
      <w:numFmt w:val="chineseCounting"/>
      <w:suff w:val="nothing"/>
      <w:lvlText w:val="（%1）"/>
      <w:lvlJc w:val="left"/>
      <w:rPr>
        <w:rFonts w:hint="eastAsia"/>
      </w:rPr>
    </w:lvl>
  </w:abstractNum>
  <w:abstractNum w:abstractNumId="3">
    <w:nsid w:val="3C3CCC3C"/>
    <w:multiLevelType w:val="singleLevel"/>
    <w:tmpl w:val="3C3CCC3C"/>
    <w:lvl w:ilvl="0" w:tentative="0">
      <w:start w:val="3"/>
      <w:numFmt w:val="chineseCounting"/>
      <w:suff w:val="nothing"/>
      <w:lvlText w:val="（%1）"/>
      <w:lvlJc w:val="left"/>
      <w:rPr>
        <w:rFonts w:hint="eastAsia"/>
      </w:rPr>
    </w:lvl>
  </w:abstractNum>
  <w:abstractNum w:abstractNumId="4">
    <w:nsid w:val="570BD3A4"/>
    <w:multiLevelType w:val="singleLevel"/>
    <w:tmpl w:val="570BD3A4"/>
    <w:lvl w:ilvl="0" w:tentative="0">
      <w:start w:val="2"/>
      <w:numFmt w:val="chineseCounting"/>
      <w:suff w:val="nothing"/>
      <w:lvlText w:val="%1、"/>
      <w:lvlJc w:val="left"/>
      <w:rPr>
        <w:rFonts w:hint="eastAsia"/>
      </w:rPr>
    </w:lvl>
  </w:abstractNum>
  <w:abstractNum w:abstractNumId="5">
    <w:nsid w:val="7602B9A9"/>
    <w:multiLevelType w:val="singleLevel"/>
    <w:tmpl w:val="7602B9A9"/>
    <w:lvl w:ilvl="0" w:tentative="0">
      <w:start w:val="2"/>
      <w:numFmt w:val="chineseCounting"/>
      <w:suff w:val="nothing"/>
      <w:lvlText w:val="（%1）"/>
      <w:lvlJc w:val="left"/>
      <w:rPr>
        <w:rFonts w:hint="eastAsia"/>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D30B4"/>
    <w:rsid w:val="002F0BBC"/>
    <w:rsid w:val="007022A7"/>
    <w:rsid w:val="00BF5D47"/>
    <w:rsid w:val="0351125F"/>
    <w:rsid w:val="057E61A9"/>
    <w:rsid w:val="067E30D2"/>
    <w:rsid w:val="06C27210"/>
    <w:rsid w:val="097278EE"/>
    <w:rsid w:val="0C1769DD"/>
    <w:rsid w:val="0F814DF1"/>
    <w:rsid w:val="11547015"/>
    <w:rsid w:val="13286A18"/>
    <w:rsid w:val="142E6C6A"/>
    <w:rsid w:val="15AC71C5"/>
    <w:rsid w:val="165846C2"/>
    <w:rsid w:val="18594C60"/>
    <w:rsid w:val="18EE0E5D"/>
    <w:rsid w:val="1A547EC7"/>
    <w:rsid w:val="22B14AB7"/>
    <w:rsid w:val="23132113"/>
    <w:rsid w:val="24707F82"/>
    <w:rsid w:val="266072EE"/>
    <w:rsid w:val="27CF7D2B"/>
    <w:rsid w:val="28475160"/>
    <w:rsid w:val="2D7D25F5"/>
    <w:rsid w:val="2E8B791D"/>
    <w:rsid w:val="2FB70235"/>
    <w:rsid w:val="30A41C12"/>
    <w:rsid w:val="30D014A7"/>
    <w:rsid w:val="31927DB1"/>
    <w:rsid w:val="32323E22"/>
    <w:rsid w:val="32DC4C61"/>
    <w:rsid w:val="34A455FE"/>
    <w:rsid w:val="35835D75"/>
    <w:rsid w:val="36456490"/>
    <w:rsid w:val="3856592B"/>
    <w:rsid w:val="38E34956"/>
    <w:rsid w:val="39AF195F"/>
    <w:rsid w:val="3A7B40AC"/>
    <w:rsid w:val="3DF27F6D"/>
    <w:rsid w:val="3F3A45BE"/>
    <w:rsid w:val="40D361F2"/>
    <w:rsid w:val="41FC645F"/>
    <w:rsid w:val="454C174A"/>
    <w:rsid w:val="46075F25"/>
    <w:rsid w:val="47666A41"/>
    <w:rsid w:val="4AA001D9"/>
    <w:rsid w:val="4BB014F6"/>
    <w:rsid w:val="4C874F51"/>
    <w:rsid w:val="4CED36BA"/>
    <w:rsid w:val="510F5922"/>
    <w:rsid w:val="52A04FAA"/>
    <w:rsid w:val="56257A2F"/>
    <w:rsid w:val="568002BA"/>
    <w:rsid w:val="5896374D"/>
    <w:rsid w:val="58A211A7"/>
    <w:rsid w:val="59FE58CE"/>
    <w:rsid w:val="5BB609E6"/>
    <w:rsid w:val="5D944C2E"/>
    <w:rsid w:val="5DBC2795"/>
    <w:rsid w:val="610F70D2"/>
    <w:rsid w:val="617D36FC"/>
    <w:rsid w:val="64C34818"/>
    <w:rsid w:val="64CA458F"/>
    <w:rsid w:val="651D30B4"/>
    <w:rsid w:val="6A325541"/>
    <w:rsid w:val="6CA91122"/>
    <w:rsid w:val="6CCB781D"/>
    <w:rsid w:val="6F1E60C5"/>
    <w:rsid w:val="6F693649"/>
    <w:rsid w:val="70A04530"/>
    <w:rsid w:val="71374A1A"/>
    <w:rsid w:val="76833E9C"/>
    <w:rsid w:val="768474A2"/>
    <w:rsid w:val="77E748E7"/>
    <w:rsid w:val="79E9513B"/>
    <w:rsid w:val="7A69005D"/>
    <w:rsid w:val="7E62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paragraph" w:styleId="5">
    <w:name w:val="heading 3"/>
    <w:basedOn w:val="1"/>
    <w:next w:val="6"/>
    <w:qFormat/>
    <w:uiPriority w:val="99"/>
    <w:pPr>
      <w:keepNext/>
      <w:keepLines/>
      <w:spacing w:before="260" w:after="260" w:line="415" w:lineRule="auto"/>
      <w:outlineLvl w:val="2"/>
    </w:pPr>
    <w:rPr>
      <w:b/>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7">
    <w:name w:val="List Continue"/>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99"/>
    <w:pPr>
      <w:jc w:val="center"/>
    </w:pPr>
    <w:rPr>
      <w:rFonts w:ascii="Times New Roman" w:hAnsi="Times New Roman" w:cs="Times New Roman"/>
      <w:sz w:val="28"/>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character" w:customStyle="1" w:styleId="15">
    <w:name w:val="fontstyle01"/>
    <w:basedOn w:val="13"/>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2021-03-30T00:28:00Z</dcterms:created>
  <dc:creator>影风</dc:creator>
  <cp:lastModifiedBy>尘土</cp:lastModifiedBy>
  <cp:lastPrinted>2021-09-10T00:57:00Z</cp:lastPrinted>
  <dcterms:modified xsi:type="dcterms:W3CDTF">2021-09-30T10:10:37Z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003EC6766A7B4082BBD31844ADF6A4AB</vt:lpwstr>
  </property>
</Properties>
</file>