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麻醉机呼吸机内部回路消毒机</w:t>
      </w:r>
      <w:r>
        <w:rPr>
          <w:rFonts w:hint="eastAsia" w:asciiTheme="minorEastAsia" w:hAnsiTheme="minorEastAsia" w:eastAsiaTheme="minorEastAsia" w:cstheme="minorEastAsia"/>
          <w:b/>
          <w:bCs/>
          <w:sz w:val="28"/>
          <w:szCs w:val="28"/>
        </w:rPr>
        <w:t>采购</w:t>
      </w:r>
      <w:r>
        <w:rPr>
          <w:rFonts w:hint="eastAsia" w:asciiTheme="minorEastAsia" w:hAnsiTheme="minorEastAsia" w:eastAsiaTheme="minorEastAsia" w:cstheme="minorEastAsia"/>
          <w:b/>
          <w:bCs/>
          <w:sz w:val="28"/>
          <w:szCs w:val="28"/>
          <w:lang w:eastAsia="zh-CN"/>
        </w:rPr>
        <w:t>询价文件</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lang w:val="en-US" w:eastAsia="zh-CN"/>
        </w:rPr>
        <w:t>麻醉机呼吸机内部回路消毒机设备采购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w:t>
      </w: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11020</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lang w:val="en-US" w:eastAsia="zh-CN"/>
        </w:rPr>
        <w:t>麻醉机呼吸机内部回路消毒机设备采购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投标人资格</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标采购设备的生产许可证</w:t>
      </w:r>
      <w:r>
        <w:rPr>
          <w:rFonts w:hint="eastAsia" w:asciiTheme="minorEastAsia" w:hAnsiTheme="minorEastAsia" w:eastAsiaTheme="minorEastAsia" w:cstheme="minorEastAsia"/>
          <w:sz w:val="28"/>
          <w:szCs w:val="28"/>
          <w:lang w:eastAsia="zh-CN"/>
        </w:rPr>
        <w:t>、《医疗器械经营许可证》；</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有生产厂家授权经销证明</w:t>
      </w:r>
      <w:r>
        <w:rPr>
          <w:rFonts w:hint="eastAsia" w:asciiTheme="minorEastAsia" w:hAnsiTheme="minorEastAsia" w:eastAsiaTheme="minorEastAsia" w:cstheme="minorEastAsia"/>
          <w:sz w:val="28"/>
          <w:szCs w:val="28"/>
          <w:lang w:eastAsia="zh-CN"/>
        </w:rPr>
        <w:t>以及《医疗器械经营许可证》</w:t>
      </w:r>
      <w:r>
        <w:rPr>
          <w:rFonts w:hint="eastAsia" w:asciiTheme="minorEastAsia" w:hAnsiTheme="minorEastAsia" w:eastAsiaTheme="minorEastAsia" w:cstheme="minorEastAsia"/>
          <w:sz w:val="28"/>
          <w:szCs w:val="28"/>
        </w:rPr>
        <w:t>。</w:t>
      </w:r>
    </w:p>
    <w:p>
      <w:pPr>
        <w:keepNext w:val="0"/>
        <w:keepLines w:val="0"/>
        <w:pageBreakBefore w:val="0"/>
        <w:numPr>
          <w:ilvl w:val="0"/>
          <w:numId w:val="1"/>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投标人须在近两年内参与的项目中，没有因违规、违纪受到处</w:t>
      </w:r>
    </w:p>
    <w:p>
      <w:pPr>
        <w:keepNext w:val="0"/>
        <w:keepLines w:val="0"/>
        <w:pageBreakBefore w:val="0"/>
        <w:numPr>
          <w:ilvl w:val="0"/>
          <w:numId w:val="0"/>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投标人需缴纳投标保证金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auto"/>
          <w:sz w:val="28"/>
          <w:szCs w:val="28"/>
          <w:lang w:val="en-US" w:eastAsia="zh-CN"/>
        </w:rPr>
        <w:t>000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w:t>
      </w:r>
      <w:r>
        <w:rPr>
          <w:rFonts w:hint="eastAsia" w:cs="宋体"/>
          <w:color w:val="000000" w:themeColor="text1"/>
          <w:sz w:val="28"/>
          <w:szCs w:val="28"/>
          <w:lang w:eastAsia="zh-CN"/>
          <w14:textFill>
            <w14:solidFill>
              <w14:schemeClr w14:val="tx1"/>
            </w14:solidFill>
          </w14:textFill>
        </w:rPr>
        <w:t>投标保证金以现金方式在</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开标现场缴纳。如在投标截止前投标人未交纳投标保证金的，将拒收</w:t>
      </w:r>
    </w:p>
    <w:p>
      <w:pPr>
        <w:snapToGrid w:val="0"/>
        <w:spacing w:line="360" w:lineRule="auto"/>
        <w:jc w:val="left"/>
        <w:rPr>
          <w:rFonts w:hint="eastAsia" w:ascii="宋体" w:hAnsi="宋体" w:cs="宋体"/>
          <w:sz w:val="28"/>
          <w:szCs w:val="28"/>
        </w:rPr>
      </w:pPr>
      <w:r>
        <w:rPr>
          <w:rFonts w:hint="eastAsia" w:cs="宋体"/>
          <w:color w:val="000000" w:themeColor="text1"/>
          <w:sz w:val="28"/>
          <w:szCs w:val="28"/>
          <w:lang w:eastAsia="zh-CN"/>
          <w14:textFill>
            <w14:solidFill>
              <w14:schemeClr w14:val="tx1"/>
            </w14:solidFill>
          </w14:textFill>
        </w:rPr>
        <w:t>其投标文件。</w:t>
      </w:r>
      <w:r>
        <w:rPr>
          <w:rFonts w:hint="eastAsia" w:ascii="宋体" w:hAnsi="宋体" w:cs="宋体"/>
          <w:sz w:val="28"/>
          <w:szCs w:val="28"/>
        </w:rPr>
        <w:t>未中标单位保证金在定标后无息退还。</w:t>
      </w:r>
      <w:r>
        <w:rPr>
          <w:rFonts w:hint="eastAsia" w:ascii="宋体" w:hAnsi="宋体" w:cs="宋体"/>
          <w:sz w:val="28"/>
          <w:szCs w:val="28"/>
          <w:lang w:eastAsia="zh-CN"/>
        </w:rPr>
        <w:t>拟</w:t>
      </w:r>
      <w:r>
        <w:rPr>
          <w:rFonts w:hint="eastAsia" w:ascii="宋体" w:hAnsi="宋体" w:cs="宋体"/>
          <w:sz w:val="28"/>
          <w:szCs w:val="28"/>
        </w:rPr>
        <w:t>中标</w:t>
      </w:r>
      <w:r>
        <w:rPr>
          <w:rFonts w:hint="eastAsia" w:ascii="宋体" w:hAnsi="宋体" w:cs="宋体"/>
          <w:sz w:val="28"/>
          <w:szCs w:val="28"/>
          <w:lang w:eastAsia="zh-CN"/>
        </w:rPr>
        <w:t>单</w:t>
      </w:r>
      <w:r>
        <w:rPr>
          <w:rFonts w:hint="eastAsia" w:ascii="宋体" w:hAnsi="宋体" w:cs="宋体"/>
          <w:sz w:val="28"/>
          <w:szCs w:val="28"/>
        </w:rPr>
        <w:t>位的投</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宋体" w:hAnsi="宋体" w:cs="宋体"/>
          <w:sz w:val="28"/>
          <w:szCs w:val="28"/>
        </w:rPr>
        <w:t>标保证金在履约保证金足额缴纳后无息退还。</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cs="宋体"/>
          <w:color w:val="000000" w:themeColor="text1"/>
          <w:sz w:val="28"/>
          <w:szCs w:val="28"/>
          <w14:textFill>
            <w14:solidFill>
              <w14:schemeClr w14:val="tx1"/>
            </w14:solidFill>
          </w14:textFill>
        </w:rPr>
        <w:t>投标截止后投标人撤销投标文件的以及投标人中标后拒绝签订合同</w:t>
      </w:r>
      <w:r>
        <w:rPr>
          <w:rFonts w:hint="eastAsia" w:cs="宋体"/>
          <w:color w:val="000000" w:themeColor="text1"/>
          <w:sz w:val="28"/>
          <w:szCs w:val="28"/>
          <w:lang w:eastAsia="zh-CN"/>
          <w14:textFill>
            <w14:solidFill>
              <w14:schemeClr w14:val="tx1"/>
            </w14:solidFill>
          </w14:textFill>
        </w:rPr>
        <w:t>、放弃中标</w:t>
      </w:r>
      <w:r>
        <w:rPr>
          <w:rFonts w:hint="eastAsia" w:cs="宋体"/>
          <w:color w:val="000000" w:themeColor="text1"/>
          <w:sz w:val="28"/>
          <w:szCs w:val="28"/>
          <w14:textFill>
            <w14:solidFill>
              <w14:schemeClr w14:val="tx1"/>
            </w14:solidFill>
          </w14:textFill>
        </w:rPr>
        <w:t>的，投标保证金不予退还。</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中标人须以现金缴纳2000元中标服务费。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八、履约保证金</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中标单位应于接到中标通知书后的5日内向招标人指定账户打入成</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交金额10%的履约金，并在15个工作日内签订采购合同，若中标单</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位未在规定时间内缴纳履约保证金，并无正当理由的视为自动放弃中</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标资格。</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九、报名方式与报名截止时间</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lang w:val="en-US" w:eastAsia="zh-CN"/>
        </w:rPr>
        <w:t>采取网上报名，于</w:t>
      </w:r>
      <w:r>
        <w:rPr>
          <w:rFonts w:hint="eastAsia" w:asciiTheme="minorEastAsia" w:hAnsiTheme="minorEastAsia" w:eastAsiaTheme="minorEastAsia" w:cstheme="minorEastAsia"/>
          <w:color w:val="auto"/>
          <w:sz w:val="28"/>
          <w:szCs w:val="28"/>
          <w:lang w:val="en-US" w:eastAsia="zh-CN"/>
        </w:rPr>
        <w:t>2021年10月29日下午17：00前，将投标单位的</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营业执照影印件、单位联系方式通过电子邮件形式发送至邮箱2295829959@QQ.com。</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十</w:t>
      </w:r>
      <w:r>
        <w:rPr>
          <w:rFonts w:hint="eastAsia" w:asciiTheme="minorEastAsia" w:hAnsiTheme="minorEastAsia" w:eastAsiaTheme="minorEastAsia" w:cstheme="minorEastAsia"/>
          <w:b/>
          <w:bCs/>
          <w:color w:val="auto"/>
          <w:sz w:val="28"/>
          <w:szCs w:val="28"/>
        </w:rPr>
        <w:t>、招标时间安排</w:t>
      </w:r>
    </w:p>
    <w:p>
      <w:pPr>
        <w:snapToGrid w:val="0"/>
        <w:spacing w:line="360" w:lineRule="auto"/>
        <w:ind w:left="0" w:leftChars="0" w:firstLine="0" w:firstLineChars="0"/>
        <w:jc w:val="left"/>
        <w:rPr>
          <w:rFonts w:hint="default" w:eastAsia="宋体"/>
          <w:color w:val="auto"/>
          <w:sz w:val="28"/>
          <w:szCs w:val="28"/>
          <w:lang w:val="en-US" w:eastAsia="zh-CN"/>
        </w:rPr>
      </w:pPr>
      <w:r>
        <w:rPr>
          <w:rFonts w:hint="eastAsia" w:cs="宋体"/>
          <w:color w:val="auto"/>
          <w:sz w:val="28"/>
          <w:szCs w:val="28"/>
        </w:rPr>
        <w:t>（一）开标时间：</w:t>
      </w:r>
      <w:r>
        <w:rPr>
          <w:color w:val="auto"/>
          <w:sz w:val="28"/>
          <w:szCs w:val="28"/>
        </w:rPr>
        <w:t>202</w:t>
      </w:r>
      <w:r>
        <w:rPr>
          <w:rFonts w:hint="eastAsia"/>
          <w:color w:val="auto"/>
          <w:sz w:val="28"/>
          <w:szCs w:val="28"/>
          <w:lang w:val="en-US" w:eastAsia="zh-CN"/>
        </w:rPr>
        <w:t>1</w:t>
      </w:r>
      <w:r>
        <w:rPr>
          <w:rFonts w:hint="eastAsia" w:cs="宋体"/>
          <w:color w:val="auto"/>
          <w:sz w:val="28"/>
          <w:szCs w:val="28"/>
        </w:rPr>
        <w:t>年</w:t>
      </w:r>
      <w:r>
        <w:rPr>
          <w:rFonts w:hint="eastAsia" w:cs="宋体"/>
          <w:color w:val="auto"/>
          <w:sz w:val="28"/>
          <w:szCs w:val="28"/>
          <w:lang w:val="en-US" w:eastAsia="zh-CN"/>
        </w:rPr>
        <w:t>10</w:t>
      </w:r>
      <w:r>
        <w:rPr>
          <w:rFonts w:hint="eastAsia" w:cs="宋体"/>
          <w:color w:val="auto"/>
          <w:sz w:val="28"/>
          <w:szCs w:val="28"/>
        </w:rPr>
        <w:t>月</w:t>
      </w:r>
      <w:r>
        <w:rPr>
          <w:rFonts w:hint="eastAsia" w:cs="宋体"/>
          <w:color w:val="auto"/>
          <w:sz w:val="28"/>
          <w:szCs w:val="28"/>
          <w:lang w:val="en-US" w:eastAsia="zh-CN"/>
        </w:rPr>
        <w:t>30</w:t>
      </w:r>
      <w:r>
        <w:rPr>
          <w:rFonts w:hint="eastAsia" w:cs="宋体"/>
          <w:color w:val="auto"/>
          <w:sz w:val="28"/>
          <w:szCs w:val="28"/>
        </w:rPr>
        <w:t>日</w:t>
      </w:r>
      <w:r>
        <w:rPr>
          <w:rFonts w:hint="eastAsia" w:cs="宋体"/>
          <w:color w:val="auto"/>
          <w:sz w:val="28"/>
          <w:szCs w:val="28"/>
          <w:lang w:eastAsia="zh-CN"/>
        </w:rPr>
        <w:t>上午</w:t>
      </w:r>
      <w:r>
        <w:rPr>
          <w:rFonts w:hint="eastAsia" w:cs="宋体"/>
          <w:color w:val="auto"/>
          <w:sz w:val="28"/>
          <w:szCs w:val="28"/>
          <w:lang w:val="en-US" w:eastAsia="zh-CN"/>
        </w:rPr>
        <w:t>9：00</w:t>
      </w:r>
    </w:p>
    <w:p>
      <w:pPr>
        <w:snapToGrid w:val="0"/>
        <w:spacing w:line="360" w:lineRule="auto"/>
        <w:jc w:val="left"/>
        <w:rPr>
          <w:rFonts w:hint="eastAsia" w:cs="宋体"/>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号皖北康复医院</w:t>
      </w:r>
      <w:r>
        <w:rPr>
          <w:rFonts w:hint="eastAsia" w:cs="宋体"/>
          <w:color w:val="auto"/>
          <w:sz w:val="28"/>
          <w:szCs w:val="28"/>
          <w:lang w:val="en-US" w:eastAsia="zh-CN"/>
        </w:rPr>
        <w:t xml:space="preserve">7 </w:t>
      </w:r>
      <w:r>
        <w:rPr>
          <w:rFonts w:hint="eastAsia" w:cs="宋体"/>
          <w:color w:val="auto"/>
          <w:sz w:val="28"/>
          <w:szCs w:val="28"/>
        </w:rPr>
        <w:t>号楼</w:t>
      </w:r>
      <w:r>
        <w:rPr>
          <w:rFonts w:hint="eastAsia" w:cs="宋体"/>
          <w:color w:val="auto"/>
          <w:sz w:val="28"/>
          <w:szCs w:val="28"/>
          <w:lang w:val="en-US" w:eastAsia="zh-CN"/>
        </w:rPr>
        <w:t xml:space="preserve"> 4</w:t>
      </w:r>
      <w:r>
        <w:rPr>
          <w:rFonts w:hint="eastAsia" w:cs="宋体"/>
          <w:color w:val="auto"/>
          <w:sz w:val="28"/>
          <w:szCs w:val="28"/>
        </w:rPr>
        <w:t>楼会</w:t>
      </w:r>
    </w:p>
    <w:p>
      <w:pPr>
        <w:snapToGrid w:val="0"/>
        <w:spacing w:line="360" w:lineRule="auto"/>
        <w:jc w:val="left"/>
        <w:rPr>
          <w:rFonts w:cs="Times New Roman"/>
          <w:color w:val="auto"/>
          <w:sz w:val="28"/>
          <w:szCs w:val="28"/>
        </w:rPr>
      </w:pPr>
      <w:r>
        <w:rPr>
          <w:rFonts w:hint="eastAsia" w:cs="宋体"/>
          <w:color w:val="auto"/>
          <w:sz w:val="28"/>
          <w:szCs w:val="28"/>
        </w:rPr>
        <w:t>议室</w:t>
      </w:r>
    </w:p>
    <w:p>
      <w:pPr>
        <w:snapToGrid w:val="0"/>
        <w:spacing w:line="360" w:lineRule="auto"/>
        <w:jc w:val="left"/>
        <w:rPr>
          <w:rFonts w:hint="eastAsia" w:asciiTheme="minorEastAsia" w:hAnsiTheme="minorEastAsia" w:eastAsiaTheme="minorEastAsia" w:cstheme="minorEastAsia"/>
          <w:b/>
          <w:bCs/>
          <w:color w:val="auto"/>
          <w:sz w:val="28"/>
          <w:szCs w:val="28"/>
          <w:lang w:eastAsia="zh-CN"/>
        </w:rPr>
      </w:pPr>
      <w:r>
        <w:rPr>
          <w:rFonts w:hint="eastAsia" w:cs="宋体"/>
          <w:color w:val="auto"/>
          <w:sz w:val="28"/>
          <w:szCs w:val="28"/>
        </w:rPr>
        <w:t>（三）投标截止时间：</w:t>
      </w:r>
      <w:r>
        <w:rPr>
          <w:color w:val="auto"/>
          <w:sz w:val="28"/>
          <w:szCs w:val="28"/>
        </w:rPr>
        <w:t>202</w:t>
      </w:r>
      <w:r>
        <w:rPr>
          <w:rFonts w:hint="eastAsia"/>
          <w:color w:val="auto"/>
          <w:sz w:val="28"/>
          <w:szCs w:val="28"/>
          <w:lang w:val="en-US" w:eastAsia="zh-CN"/>
        </w:rPr>
        <w:t>1</w:t>
      </w:r>
      <w:r>
        <w:rPr>
          <w:rFonts w:hint="eastAsia" w:cs="宋体"/>
          <w:color w:val="auto"/>
          <w:sz w:val="28"/>
          <w:szCs w:val="28"/>
        </w:rPr>
        <w:t>年</w:t>
      </w:r>
      <w:r>
        <w:rPr>
          <w:rFonts w:hint="eastAsia" w:cs="宋体"/>
          <w:color w:val="auto"/>
          <w:sz w:val="28"/>
          <w:szCs w:val="28"/>
          <w:lang w:val="en-US" w:eastAsia="zh-CN"/>
        </w:rPr>
        <w:t>10</w:t>
      </w:r>
      <w:r>
        <w:rPr>
          <w:rFonts w:hint="eastAsia" w:cs="宋体"/>
          <w:color w:val="auto"/>
          <w:sz w:val="28"/>
          <w:szCs w:val="28"/>
        </w:rPr>
        <w:t>月</w:t>
      </w:r>
      <w:r>
        <w:rPr>
          <w:rFonts w:hint="eastAsia" w:cs="宋体"/>
          <w:color w:val="auto"/>
          <w:sz w:val="28"/>
          <w:szCs w:val="28"/>
          <w:lang w:val="en-US" w:eastAsia="zh-CN"/>
        </w:rPr>
        <w:t>30</w:t>
      </w:r>
      <w:r>
        <w:rPr>
          <w:rFonts w:hint="eastAsia" w:cs="宋体"/>
          <w:color w:val="auto"/>
          <w:sz w:val="28"/>
          <w:szCs w:val="28"/>
        </w:rPr>
        <w:t>日</w:t>
      </w:r>
      <w:r>
        <w:rPr>
          <w:rFonts w:hint="eastAsia" w:cs="宋体"/>
          <w:color w:val="auto"/>
          <w:sz w:val="28"/>
          <w:szCs w:val="28"/>
          <w:lang w:eastAsia="zh-CN"/>
        </w:rPr>
        <w:t>上午</w:t>
      </w:r>
      <w:r>
        <w:rPr>
          <w:rFonts w:hint="eastAsia" w:cs="宋体"/>
          <w:color w:val="auto"/>
          <w:sz w:val="28"/>
          <w:szCs w:val="28"/>
          <w:lang w:val="en-US" w:eastAsia="zh-CN"/>
        </w:rPr>
        <w:t>9：00</w:t>
      </w:r>
      <w:r>
        <w:rPr>
          <w:rFonts w:hint="eastAsia" w:cs="宋体"/>
          <w:color w:val="auto"/>
          <w:sz w:val="28"/>
          <w:szCs w:val="28"/>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十一</w:t>
      </w:r>
      <w:r>
        <w:rPr>
          <w:rFonts w:hint="eastAsia" w:asciiTheme="minorEastAsia" w:hAnsiTheme="minorEastAsia" w:eastAsiaTheme="minorEastAsia" w:cstheme="minorEastAsia"/>
          <w:b/>
          <w:bCs/>
          <w:color w:val="auto"/>
          <w:sz w:val="28"/>
          <w:szCs w:val="28"/>
        </w:rPr>
        <w:t>、投标文件的澄清与说明</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cs="宋体"/>
          <w:color w:val="auto"/>
          <w:kern w:val="2"/>
          <w:sz w:val="28"/>
          <w:szCs w:val="28"/>
          <w:lang w:val="en-US" w:eastAsia="zh-CN" w:bidi="ar-SA"/>
        </w:rPr>
      </w:pPr>
      <w:r>
        <w:rPr>
          <w:rFonts w:hint="eastAsia" w:ascii="Calibri" w:hAnsi="Calibri" w:eastAsia="宋体" w:cs="宋体"/>
          <w:color w:val="auto"/>
          <w:kern w:val="2"/>
          <w:sz w:val="28"/>
          <w:szCs w:val="28"/>
          <w:lang w:val="en-US" w:eastAsia="zh-CN" w:bidi="ar-SA"/>
        </w:rPr>
        <w:t>投标人如对招标文件提出质疑，请在202</w:t>
      </w:r>
      <w:r>
        <w:rPr>
          <w:rFonts w:hint="eastAsia" w:ascii="Calibri" w:hAnsi="Calibri" w:cs="宋体"/>
          <w:color w:val="auto"/>
          <w:kern w:val="2"/>
          <w:sz w:val="28"/>
          <w:szCs w:val="28"/>
          <w:lang w:val="en-US" w:eastAsia="zh-CN" w:bidi="ar-SA"/>
        </w:rPr>
        <w:t>1</w:t>
      </w:r>
      <w:r>
        <w:rPr>
          <w:rFonts w:hint="eastAsia" w:ascii="Calibri" w:hAnsi="Calibri" w:eastAsia="宋体" w:cs="宋体"/>
          <w:color w:val="auto"/>
          <w:kern w:val="2"/>
          <w:sz w:val="28"/>
          <w:szCs w:val="28"/>
          <w:lang w:val="en-US" w:eastAsia="zh-CN" w:bidi="ar-SA"/>
        </w:rPr>
        <w:t>年</w:t>
      </w:r>
      <w:r>
        <w:rPr>
          <w:rFonts w:hint="eastAsia" w:ascii="Calibri" w:hAnsi="Calibri" w:cs="宋体"/>
          <w:color w:val="auto"/>
          <w:kern w:val="2"/>
          <w:sz w:val="28"/>
          <w:szCs w:val="28"/>
          <w:lang w:val="en-US" w:eastAsia="zh-CN" w:bidi="ar-SA"/>
        </w:rPr>
        <w:t>10</w:t>
      </w:r>
      <w:r>
        <w:rPr>
          <w:rFonts w:hint="eastAsia" w:ascii="Calibri" w:hAnsi="Calibri" w:eastAsia="宋体" w:cs="宋体"/>
          <w:color w:val="auto"/>
          <w:kern w:val="2"/>
          <w:sz w:val="28"/>
          <w:szCs w:val="28"/>
          <w:lang w:val="en-US" w:eastAsia="zh-CN" w:bidi="ar-SA"/>
        </w:rPr>
        <w:t>月</w:t>
      </w:r>
      <w:r>
        <w:rPr>
          <w:rFonts w:hint="eastAsia" w:ascii="Calibri" w:hAnsi="Calibri" w:cs="宋体"/>
          <w:color w:val="auto"/>
          <w:kern w:val="2"/>
          <w:sz w:val="28"/>
          <w:szCs w:val="28"/>
          <w:lang w:val="en-US" w:eastAsia="zh-CN" w:bidi="ar-SA"/>
        </w:rPr>
        <w:t>26</w:t>
      </w:r>
      <w:r>
        <w:rPr>
          <w:rFonts w:hint="eastAsia" w:ascii="Calibri" w:hAnsi="Calibri" w:eastAsia="宋体" w:cs="宋体"/>
          <w:color w:val="auto"/>
          <w:kern w:val="2"/>
          <w:sz w:val="28"/>
          <w:szCs w:val="28"/>
          <w:lang w:val="en-US" w:eastAsia="zh-CN" w:bidi="ar-SA"/>
        </w:rPr>
        <w:t>日</w:t>
      </w:r>
      <w:r>
        <w:rPr>
          <w:rFonts w:hint="eastAsia" w:ascii="Calibri" w:hAnsi="Calibri" w:cs="宋体"/>
          <w:color w:val="auto"/>
          <w:kern w:val="2"/>
          <w:sz w:val="28"/>
          <w:szCs w:val="28"/>
          <w:lang w:val="en-US" w:eastAsia="zh-CN" w:bidi="ar-SA"/>
        </w:rPr>
        <w:t>上</w:t>
      </w:r>
      <w:r>
        <w:rPr>
          <w:rFonts w:hint="eastAsia" w:ascii="Calibri" w:hAnsi="Calibri" w:eastAsia="宋体" w:cs="宋体"/>
          <w:color w:val="auto"/>
          <w:kern w:val="2"/>
          <w:sz w:val="28"/>
          <w:szCs w:val="28"/>
          <w:lang w:val="en-US" w:eastAsia="zh-CN" w:bidi="ar-SA"/>
        </w:rPr>
        <w:t>午</w:t>
      </w:r>
      <w:r>
        <w:rPr>
          <w:rFonts w:hint="eastAsia" w:ascii="Calibri" w:hAnsi="Calibri" w:cs="宋体"/>
          <w:color w:val="auto"/>
          <w:kern w:val="2"/>
          <w:sz w:val="28"/>
          <w:szCs w:val="28"/>
          <w:lang w:val="en-US" w:eastAsia="zh-CN" w:bidi="ar-SA"/>
        </w:rPr>
        <w:t>11：00</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auto"/>
          <w:kern w:val="2"/>
          <w:sz w:val="28"/>
          <w:szCs w:val="28"/>
          <w:lang w:val="en-US" w:eastAsia="zh-CN" w:bidi="ar-SA"/>
        </w:rPr>
      </w:pPr>
      <w:r>
        <w:rPr>
          <w:rFonts w:hint="eastAsia" w:ascii="Calibri" w:hAnsi="Calibri" w:eastAsia="宋体" w:cs="宋体"/>
          <w:color w:val="auto"/>
          <w:kern w:val="2"/>
          <w:sz w:val="28"/>
          <w:szCs w:val="28"/>
          <w:lang w:val="en-US" w:eastAsia="zh-CN" w:bidi="ar-SA"/>
        </w:rPr>
        <w:t>前以不署名电子邮件形式发送至邮箱</w:t>
      </w:r>
      <w:r>
        <w:rPr>
          <w:rFonts w:hint="eastAsia" w:ascii="Calibri" w:hAnsi="Calibri" w:cs="宋体"/>
          <w:color w:val="auto"/>
          <w:kern w:val="2"/>
          <w:sz w:val="28"/>
          <w:szCs w:val="28"/>
          <w:lang w:val="en-US" w:eastAsia="zh-CN" w:bidi="ar-SA"/>
        </w:rPr>
        <w:t>2295829959</w:t>
      </w:r>
      <w:r>
        <w:rPr>
          <w:rFonts w:hint="eastAsia" w:ascii="Calibri" w:hAnsi="Calibri" w:eastAsia="宋体" w:cs="宋体"/>
          <w:color w:val="auto"/>
          <w:kern w:val="2"/>
          <w:sz w:val="28"/>
          <w:szCs w:val="28"/>
          <w:lang w:val="en-US" w:eastAsia="zh-CN" w:bidi="ar-SA"/>
        </w:rPr>
        <w:t>@QQ.com，招标人</w:t>
      </w:r>
    </w:p>
    <w:p>
      <w:pPr>
        <w:pStyle w:val="1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auto"/>
          <w:kern w:val="2"/>
          <w:sz w:val="28"/>
          <w:szCs w:val="28"/>
          <w:lang w:val="en-US" w:eastAsia="zh-CN" w:bidi="ar-SA"/>
        </w:rPr>
      </w:pPr>
      <w:r>
        <w:rPr>
          <w:rFonts w:hint="eastAsia" w:ascii="Calibri" w:hAnsi="Calibri" w:eastAsia="宋体" w:cs="宋体"/>
          <w:color w:val="auto"/>
          <w:kern w:val="2"/>
          <w:sz w:val="28"/>
          <w:szCs w:val="28"/>
          <w:lang w:val="en-US" w:eastAsia="zh-CN" w:bidi="ar-SA"/>
        </w:rPr>
        <w:t>于202</w:t>
      </w:r>
      <w:r>
        <w:rPr>
          <w:rFonts w:hint="eastAsia" w:ascii="Calibri" w:hAnsi="Calibri" w:cs="宋体"/>
          <w:color w:val="auto"/>
          <w:kern w:val="2"/>
          <w:sz w:val="28"/>
          <w:szCs w:val="28"/>
          <w:lang w:val="en-US" w:eastAsia="zh-CN" w:bidi="ar-SA"/>
        </w:rPr>
        <w:t>1</w:t>
      </w:r>
      <w:r>
        <w:rPr>
          <w:rFonts w:hint="eastAsia" w:ascii="Calibri" w:hAnsi="Calibri" w:eastAsia="宋体" w:cs="宋体"/>
          <w:color w:val="auto"/>
          <w:kern w:val="2"/>
          <w:sz w:val="28"/>
          <w:szCs w:val="28"/>
          <w:lang w:val="en-US" w:eastAsia="zh-CN" w:bidi="ar-SA"/>
        </w:rPr>
        <w:t>年</w:t>
      </w:r>
      <w:r>
        <w:rPr>
          <w:rFonts w:hint="eastAsia" w:ascii="Calibri" w:hAnsi="Calibri" w:cs="宋体"/>
          <w:color w:val="auto"/>
          <w:kern w:val="2"/>
          <w:sz w:val="28"/>
          <w:szCs w:val="28"/>
          <w:lang w:val="en-US" w:eastAsia="zh-CN" w:bidi="ar-SA"/>
        </w:rPr>
        <w:t>10</w:t>
      </w:r>
      <w:r>
        <w:rPr>
          <w:rFonts w:hint="eastAsia" w:ascii="Calibri" w:hAnsi="Calibri" w:eastAsia="宋体" w:cs="宋体"/>
          <w:color w:val="auto"/>
          <w:kern w:val="2"/>
          <w:sz w:val="28"/>
          <w:szCs w:val="28"/>
          <w:lang w:val="en-US" w:eastAsia="zh-CN" w:bidi="ar-SA"/>
        </w:rPr>
        <w:t>月</w:t>
      </w:r>
      <w:r>
        <w:rPr>
          <w:rFonts w:hint="eastAsia" w:ascii="Calibri" w:hAnsi="Calibri" w:cs="宋体"/>
          <w:color w:val="auto"/>
          <w:kern w:val="2"/>
          <w:sz w:val="28"/>
          <w:szCs w:val="28"/>
          <w:lang w:val="en-US" w:eastAsia="zh-CN" w:bidi="ar-SA"/>
        </w:rPr>
        <w:t>27</w:t>
      </w:r>
      <w:r>
        <w:rPr>
          <w:rFonts w:hint="eastAsia" w:ascii="Calibri" w:hAnsi="Calibri" w:eastAsia="宋体" w:cs="宋体"/>
          <w:color w:val="auto"/>
          <w:kern w:val="2"/>
          <w:sz w:val="28"/>
          <w:szCs w:val="28"/>
          <w:lang w:val="en-US" w:eastAsia="zh-CN" w:bidi="ar-SA"/>
        </w:rPr>
        <w:t>日</w:t>
      </w:r>
      <w:r>
        <w:rPr>
          <w:rFonts w:hint="eastAsia" w:ascii="Calibri" w:hAnsi="Calibri" w:cs="宋体"/>
          <w:color w:val="auto"/>
          <w:kern w:val="2"/>
          <w:sz w:val="28"/>
          <w:szCs w:val="28"/>
          <w:lang w:val="en-US" w:eastAsia="zh-CN" w:bidi="ar-SA"/>
        </w:rPr>
        <w:t>下</w:t>
      </w:r>
      <w:r>
        <w:rPr>
          <w:rFonts w:hint="eastAsia" w:ascii="Calibri" w:hAnsi="Calibri" w:eastAsia="宋体" w:cs="宋体"/>
          <w:color w:val="auto"/>
          <w:kern w:val="2"/>
          <w:sz w:val="28"/>
          <w:szCs w:val="28"/>
          <w:lang w:val="en-US" w:eastAsia="zh-CN" w:bidi="ar-SA"/>
        </w:rPr>
        <w:t>午</w:t>
      </w:r>
      <w:r>
        <w:rPr>
          <w:rFonts w:hint="eastAsia" w:ascii="Calibri" w:hAnsi="Calibri" w:cs="宋体"/>
          <w:color w:val="auto"/>
          <w:kern w:val="2"/>
          <w:sz w:val="28"/>
          <w:szCs w:val="28"/>
          <w:lang w:val="en-US" w:eastAsia="zh-CN" w:bidi="ar-SA"/>
        </w:rPr>
        <w:t>5：00</w:t>
      </w:r>
      <w:r>
        <w:rPr>
          <w:rFonts w:hint="eastAsia" w:ascii="Calibri" w:hAnsi="Calibri" w:eastAsia="宋体" w:cs="宋体"/>
          <w:color w:val="auto"/>
          <w:kern w:val="2"/>
          <w:sz w:val="28"/>
          <w:szCs w:val="28"/>
          <w:lang w:val="en-US" w:eastAsia="zh-CN" w:bidi="ar-SA"/>
        </w:rPr>
        <w:t>前在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lang w:val="en-US" w:eastAsia="zh-CN" w:bidi="ar-SA"/>
        </w:rPr>
        <w:t>予以公</w:t>
      </w:r>
    </w:p>
    <w:p>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Theme="minorEastAsia" w:hAnsiTheme="minorEastAsia" w:eastAsiaTheme="minorEastAsia" w:cstheme="minorEastAsia"/>
          <w:b/>
          <w:bCs/>
          <w:color w:val="auto"/>
        </w:rPr>
      </w:pPr>
      <w:r>
        <w:rPr>
          <w:rFonts w:hint="eastAsia" w:ascii="Calibri" w:hAnsi="Calibri" w:eastAsia="宋体" w:cs="宋体"/>
          <w:color w:val="auto"/>
          <w:kern w:val="2"/>
          <w:sz w:val="28"/>
          <w:szCs w:val="28"/>
          <w:lang w:val="en-US" w:eastAsia="zh-CN" w:bidi="ar-SA"/>
        </w:rPr>
        <w:t>告统一答复，逾期的质疑概不受理，开标后不得对招标文件的内容或条款提出质疑。</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eastAsia="zh-CN"/>
        </w:rPr>
        <w:t>十二</w:t>
      </w:r>
      <w:r>
        <w:rPr>
          <w:rFonts w:hint="eastAsia" w:asciiTheme="minorEastAsia" w:hAnsiTheme="minorEastAsia" w:eastAsiaTheme="minorEastAsia" w:cstheme="minorEastAsia"/>
          <w:b/>
          <w:bCs/>
          <w:color w:val="auto"/>
        </w:rPr>
        <w:t>、评标办法：</w:t>
      </w:r>
      <w:r>
        <w:rPr>
          <w:rFonts w:hint="eastAsia" w:asciiTheme="minorEastAsia" w:hAnsiTheme="minorEastAsia" w:eastAsiaTheme="minorEastAsia" w:cstheme="minorEastAsia"/>
          <w:color w:val="auto"/>
        </w:rPr>
        <w:t>综合评分法</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十三</w:t>
      </w:r>
      <w:r>
        <w:rPr>
          <w:rFonts w:hint="eastAsia" w:asciiTheme="minorEastAsia" w:hAnsiTheme="minorEastAsia" w:eastAsiaTheme="minorEastAsia" w:cstheme="minorEastAsia"/>
          <w:b/>
          <w:bCs/>
          <w:color w:val="auto"/>
        </w:rPr>
        <w:t>、投标文件</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lang w:eastAsia="zh-CN"/>
        </w:rPr>
        <w:t>（一）</w:t>
      </w:r>
      <w:r>
        <w:rPr>
          <w:rFonts w:hint="eastAsia" w:asciiTheme="minorEastAsia" w:hAnsiTheme="minorEastAsia" w:eastAsiaTheme="minorEastAsia" w:cstheme="minorEastAsia"/>
          <w:color w:val="auto"/>
        </w:rPr>
        <w:t>投标人应交送</w:t>
      </w:r>
      <w:r>
        <w:rPr>
          <w:rFonts w:hint="eastAsia" w:asciiTheme="minorEastAsia" w:hAnsiTheme="minorEastAsia" w:eastAsiaTheme="minorEastAsia" w:cstheme="minorEastAsia"/>
          <w:b/>
          <w:bCs/>
          <w:color w:val="auto"/>
        </w:rPr>
        <w:t>5</w:t>
      </w:r>
      <w:r>
        <w:rPr>
          <w:rFonts w:hint="eastAsia" w:asciiTheme="minorEastAsia" w:hAnsiTheme="minorEastAsia" w:eastAsiaTheme="minorEastAsia" w:cstheme="minorEastAsia"/>
          <w:color w:val="auto"/>
        </w:rPr>
        <w:t>份纸质投标文件，标有正本（</w:t>
      </w:r>
      <w:r>
        <w:rPr>
          <w:rFonts w:hint="eastAsia" w:asciiTheme="minorEastAsia" w:hAnsiTheme="minorEastAsia" w:eastAsiaTheme="minorEastAsia" w:cstheme="minorEastAsia"/>
          <w:b/>
          <w:bCs/>
          <w:color w:val="auto"/>
        </w:rPr>
        <w:t>1</w:t>
      </w:r>
      <w:r>
        <w:rPr>
          <w:rFonts w:hint="eastAsia" w:asciiTheme="minorEastAsia" w:hAnsiTheme="minorEastAsia" w:eastAsiaTheme="minorEastAsia" w:cstheme="minorEastAsia"/>
          <w:color w:val="auto"/>
        </w:rPr>
        <w:t>份），副本（</w:t>
      </w:r>
      <w:r>
        <w:rPr>
          <w:rFonts w:hint="eastAsia" w:asciiTheme="minorEastAsia" w:hAnsiTheme="minorEastAsia" w:eastAsiaTheme="minorEastAsia" w:cstheme="minorEastAsia"/>
          <w:b/>
          <w:bCs/>
          <w:color w:val="auto"/>
        </w:rPr>
        <w:t>4</w:t>
      </w:r>
    </w:p>
    <w:p>
      <w:pPr>
        <w:pStyle w:val="10"/>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份）。电子版投标文件1份（光盘U盘均可），电子版投标文件内容</w:t>
      </w:r>
    </w:p>
    <w:p>
      <w:pPr>
        <w:pStyle w:val="10"/>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须与纸质投标文件完全相同。</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400" w:firstLineChars="50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（二）</w:t>
      </w:r>
      <w:r>
        <w:rPr>
          <w:rFonts w:hint="eastAsia" w:asciiTheme="minorEastAsia" w:hAnsiTheme="minorEastAsia" w:eastAsiaTheme="minorEastAsia" w:cstheme="minorEastAsia"/>
          <w:color w:val="auto"/>
        </w:rPr>
        <w:t>投标文件须盖投标人公章，并有法定代表人或委托代理人的签</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w:t>
      </w:r>
    </w:p>
    <w:p>
      <w:pPr>
        <w:pStyle w:val="10"/>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投标文件的正、副本应密封包装，封口处贴封条并</w:t>
      </w:r>
      <w:r>
        <w:rPr>
          <w:rFonts w:hint="eastAsia" w:asciiTheme="minorEastAsia" w:hAnsiTheme="minorEastAsia" w:eastAsiaTheme="minorEastAsia" w:cstheme="minorEastAsia"/>
          <w:b w:val="0"/>
          <w:bCs w:val="0"/>
          <w:color w:val="auto"/>
          <w:lang w:eastAsia="zh-CN"/>
        </w:rPr>
        <w:t>齐</w:t>
      </w:r>
      <w:r>
        <w:rPr>
          <w:rFonts w:hint="eastAsia" w:asciiTheme="minorEastAsia" w:hAnsiTheme="minorEastAsia" w:eastAsiaTheme="minorEastAsia" w:cstheme="minorEastAsia"/>
          <w:b w:val="0"/>
          <w:bCs w:val="0"/>
          <w:color w:val="auto"/>
        </w:rPr>
        <w:t>缝</w:t>
      </w:r>
      <w:r>
        <w:rPr>
          <w:rFonts w:hint="eastAsia" w:asciiTheme="minorEastAsia" w:hAnsiTheme="minorEastAsia" w:eastAsiaTheme="minorEastAsia" w:cstheme="minorEastAsia"/>
          <w:color w:val="auto"/>
        </w:rPr>
        <w:t>加盖公</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rPr>
        <w:t>章。封面注明招标项目和招标单位、投标人名称，并注明“开标时启封”字样。投标文件不按规定密封视为无效。电子版投标文件须单独</w:t>
      </w:r>
      <w:r>
        <w:rPr>
          <w:rFonts w:hint="eastAsia" w:asciiTheme="minorEastAsia" w:hAnsiTheme="minorEastAsia" w:eastAsiaTheme="minorEastAsia" w:cstheme="minorEastAsia"/>
        </w:rPr>
        <w:t>密封，并注明投标人名称。无电子版投标文件，招标方拒绝接受投标方的投标文件。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投标文件须实质性响应招标文件的要求，实质性内容是指物资</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采购数量、投标方案、主要技术规格、主要合同条款等，招标文件中要求的“投标文件编制内容”，投标文件不得漏项，如有漏项，视为没有“实质性”响应招标文件。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凡招标文件中有投标文件编制格式的部分，投标文件须按招标</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文件规定的格式编制，不按规定格式填报的投标文件可能造成无效投标。</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投标人应保证投标文件及资料均未侵犯他人的知识产权，否则</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投标人必须承担由此引起的全部法律责任。</w:t>
      </w:r>
    </w:p>
    <w:p>
      <w:pPr>
        <w:pStyle w:val="10"/>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若投标人使用了他人的专利、专有技术，涉及的费用由投标人</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w:t>
      </w:r>
    </w:p>
    <w:p>
      <w:pPr>
        <w:pStyle w:val="10"/>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招标人不接受投标人对任何未办理正常进口手续的非中华人</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民共和国境内生产的货物的投标报价。</w:t>
      </w:r>
    </w:p>
    <w:p>
      <w:pPr>
        <w:pStyle w:val="10"/>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lang w:eastAsia="zh-CN"/>
        </w:rPr>
        <w:t>参标设备的技术参数</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eastAsia="zh-CN"/>
        </w:rPr>
        <w:t>与</w:t>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lang w:eastAsia="zh-CN"/>
        </w:rPr>
        <w:t>所列相应参数不同</w:t>
      </w:r>
      <w:r>
        <w:rPr>
          <w:rFonts w:hint="eastAsia" w:asciiTheme="minorEastAsia" w:hAnsiTheme="minorEastAsia" w:eastAsiaTheme="minorEastAsia" w:cstheme="minorEastAsia"/>
        </w:rPr>
        <w:t>，可在技术偏离表中填写。</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、下列情况之一者为废标：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（六）没有对招标文件提出的要求和条件作出实质性响应的；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假方式投标的；</w:t>
      </w:r>
    </w:p>
    <w:p>
      <w:pPr>
        <w:pStyle w:val="2"/>
        <w:ind w:left="0" w:leftChars="0" w:firstLine="0" w:firstLineChars="0"/>
        <w:rPr>
          <w:rFonts w:hint="eastAsia"/>
          <w:lang w:val="en-US" w:eastAsia="zh-CN"/>
        </w:rPr>
      </w:pPr>
      <w:r>
        <w:rPr>
          <w:rFonts w:hint="eastAsia" w:asciiTheme="minorEastAsia" w:hAnsiTheme="minorEastAsia" w:eastAsiaTheme="minorEastAsia" w:cstheme="minorEastAsia"/>
          <w:kern w:val="2"/>
          <w:sz w:val="28"/>
          <w:szCs w:val="28"/>
          <w:lang w:val="en-US" w:eastAsia="zh-CN" w:bidi="ar-SA"/>
        </w:rPr>
        <w:t>（八）带有*标的参数出现负偏离的；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（九）评委会一致确认应属于废标的其它严重情况。</w:t>
      </w: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keepNext w:val="0"/>
        <w:keepLines w:val="0"/>
        <w:pageBreakBefore w:val="0"/>
        <w:numPr>
          <w:ilvl w:val="0"/>
          <w:numId w:val="2"/>
        </w:numPr>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麻醉机呼吸机内部回路消毒机</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控制价4.95万元</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二、</w:t>
      </w:r>
      <w:r>
        <w:rPr>
          <w:rFonts w:hint="eastAsia" w:asciiTheme="minorEastAsia" w:hAnsiTheme="minorEastAsia" w:eastAsiaTheme="minorEastAsia" w:cstheme="minorEastAsia"/>
          <w:b/>
          <w:bCs/>
          <w:sz w:val="28"/>
          <w:szCs w:val="28"/>
          <w:lang w:val="en-US" w:eastAsia="zh-CN"/>
        </w:rPr>
        <w:t>主要设备技术参数及配置要求</w:t>
      </w:r>
    </w:p>
    <w:p>
      <w:pPr>
        <w:keepNext w:val="0"/>
        <w:keepLines w:val="0"/>
        <w:pageBreakBefore w:val="0"/>
        <w:numPr>
          <w:ilvl w:val="0"/>
          <w:numId w:val="0"/>
        </w:numPr>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1、采用臭氧和过氧化氢两种消毒剂对麻醉机呼吸回路内部进行消毒灭菌。</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2、≥7.0英寸彩色液晶触摸显示屏、无需按键旋钮操作。</w:t>
      </w:r>
    </w:p>
    <w:p>
      <w:pPr>
        <w:keepNext w:val="0"/>
        <w:keepLines w:val="0"/>
        <w:pageBreakBefore w:val="0"/>
        <w:numPr>
          <w:ilvl w:val="0"/>
          <w:numId w:val="0"/>
        </w:numPr>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*3、工作模式：2个程序模式(麻醉机、呼吸机)，1个自定义模式。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*4、臭氧输入浓度：≥100 mg/m3。</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5、过氧化氢单次用量5ml</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6、过氧化氢浓度：10%-12%</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7、输排气速度：3～5 L/min。</w:t>
      </w:r>
    </w:p>
    <w:p>
      <w:pPr>
        <w:keepNext w:val="0"/>
        <w:keepLines w:val="0"/>
        <w:pageBreakBefore w:val="0"/>
        <w:numPr>
          <w:ilvl w:val="0"/>
          <w:numId w:val="0"/>
        </w:numPr>
        <w:kinsoku/>
        <w:wordWrap/>
        <w:overflowPunct/>
        <w:topLinePunct w:val="0"/>
        <w:bidi w:val="0"/>
        <w:snapToGrid w:val="0"/>
        <w:spacing w:beforeAutospacing="0" w:afterAutospacing="0" w:line="360" w:lineRule="auto"/>
        <w:ind w:left="786" w:leftChars="241" w:hanging="280" w:hangingChars="1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*8、臭氧排放浓度及残留量：≤0.16mg/m3，符合国家对室内空气质量标准的要求。</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9、雾化量：0.2～0.5 ml/min。</w:t>
      </w:r>
    </w:p>
    <w:p>
      <w:pPr>
        <w:keepNext w:val="0"/>
        <w:keepLines w:val="0"/>
        <w:pageBreakBefore w:val="0"/>
        <w:numPr>
          <w:ilvl w:val="0"/>
          <w:numId w:val="0"/>
        </w:numPr>
        <w:kinsoku/>
        <w:wordWrap/>
        <w:overflowPunct/>
        <w:topLinePunct w:val="0"/>
        <w:bidi w:val="0"/>
        <w:snapToGrid w:val="0"/>
        <w:spacing w:beforeAutospacing="0" w:afterAutospacing="0" w:line="360" w:lineRule="auto"/>
        <w:ind w:left="1346" w:leftChars="241" w:hanging="840" w:hangingChars="3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*10、消毒效果：枯草杆菌黑色变种芽孢杀灭对数值＞3，人类冠状病毒杀灭对数值≥4.00。（提供检验、检测报告）。</w:t>
      </w:r>
    </w:p>
    <w:p>
      <w:pPr>
        <w:keepNext w:val="0"/>
        <w:keepLines w:val="0"/>
        <w:pageBreakBefore w:val="0"/>
        <w:numPr>
          <w:ilvl w:val="0"/>
          <w:numId w:val="0"/>
        </w:numPr>
        <w:kinsoku/>
        <w:wordWrap/>
        <w:overflowPunct/>
        <w:topLinePunct w:val="0"/>
        <w:bidi w:val="0"/>
        <w:snapToGrid w:val="0"/>
        <w:spacing w:beforeAutospacing="0" w:afterAutospacing="0" w:line="360" w:lineRule="auto"/>
        <w:ind w:left="1066" w:leftChars="241" w:hanging="560" w:hangingChars="2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*11、报警功能：臭氧浓度的自检及报警功能，无效消毒时自动 报   警，消毒过程中，动态、自动监测消毒机内部产生的臭氧浓 度。</w:t>
      </w:r>
    </w:p>
    <w:p>
      <w:pPr>
        <w:keepNext w:val="0"/>
        <w:keepLines w:val="0"/>
        <w:pageBreakBefore w:val="0"/>
        <w:numPr>
          <w:ilvl w:val="0"/>
          <w:numId w:val="0"/>
        </w:numPr>
        <w:kinsoku/>
        <w:wordWrap/>
        <w:overflowPunct/>
        <w:topLinePunct w:val="0"/>
        <w:bidi w:val="0"/>
        <w:snapToGrid w:val="0"/>
        <w:spacing w:beforeAutospacing="0" w:afterAutospacing="0" w:line="360" w:lineRule="auto"/>
        <w:ind w:left="1346" w:leftChars="241" w:hanging="840" w:hangingChars="3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12、超温报警：消毒过程中，实时自动监测消毒机内部温度并自动报警。杜绝温</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度过高造成臭氧浓度自动下降而影响消毒效果。</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13、消毒时，可人机共存，并保证使用时手术室无污染；</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14、监测参数：有、无臭氧气体产生、温度、倒计数时间。</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960" w:firstLineChars="7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15、一键操作实现雾化、消毒、干燥的全自动消毒灭菌程序。</w:t>
      </w:r>
    </w:p>
    <w:p>
      <w:pPr>
        <w:keepNext w:val="0"/>
        <w:keepLines w:val="0"/>
        <w:pageBreakBefore w:val="0"/>
        <w:numPr>
          <w:ilvl w:val="0"/>
          <w:numId w:val="0"/>
        </w:numPr>
        <w:kinsoku/>
        <w:wordWrap/>
        <w:overflowPunct/>
        <w:topLinePunct w:val="0"/>
        <w:bidi w:val="0"/>
        <w:snapToGrid w:val="0"/>
        <w:spacing w:beforeAutospacing="0" w:afterAutospacing="0" w:line="360" w:lineRule="auto"/>
        <w:ind w:left="1065" w:leftChars="507" w:firstLine="0" w:firstLine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自动干燥：干燥模式采用恒温进行，确保内回路彻底干燥，无水分残留。</w:t>
      </w:r>
    </w:p>
    <w:p>
      <w:pPr>
        <w:keepNext w:val="0"/>
        <w:keepLines w:val="0"/>
        <w:pageBreakBefore w:val="0"/>
        <w:numPr>
          <w:ilvl w:val="0"/>
          <w:numId w:val="0"/>
        </w:numPr>
        <w:kinsoku/>
        <w:wordWrap/>
        <w:overflowPunct/>
        <w:topLinePunct w:val="0"/>
        <w:bidi w:val="0"/>
        <w:snapToGrid w:val="0"/>
        <w:spacing w:beforeAutospacing="0" w:afterAutospacing="0" w:line="360" w:lineRule="auto"/>
        <w:ind w:left="1066" w:leftChars="241" w:hanging="560" w:hangingChars="2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16、自动加液：免去了人与化学品的接触，避免中间环节，更加合理人性化。</w:t>
      </w:r>
    </w:p>
    <w:p>
      <w:pPr>
        <w:keepNext w:val="0"/>
        <w:keepLines w:val="0"/>
        <w:pageBreakBefore w:val="0"/>
        <w:numPr>
          <w:ilvl w:val="0"/>
          <w:numId w:val="0"/>
        </w:numPr>
        <w:kinsoku/>
        <w:wordWrap/>
        <w:overflowPunct/>
        <w:topLinePunct w:val="0"/>
        <w:bidi w:val="0"/>
        <w:snapToGrid w:val="0"/>
        <w:spacing w:beforeAutospacing="0" w:afterAutospacing="0" w:line="360" w:lineRule="auto"/>
        <w:ind w:left="2249" w:hanging="2249" w:hangingChars="800"/>
        <w:jc w:val="left"/>
        <w:textAlignment w:val="auto"/>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sz w:val="28"/>
          <w:szCs w:val="28"/>
          <w:lang w:eastAsia="zh-CN"/>
        </w:rPr>
        <w:t>三、投标人</w:t>
      </w:r>
      <w:r>
        <w:rPr>
          <w:rFonts w:hint="eastAsia" w:asciiTheme="minorEastAsia" w:hAnsiTheme="minorEastAsia" w:eastAsiaTheme="minorEastAsia" w:cstheme="minorEastAsia"/>
          <w:b/>
          <w:bCs/>
          <w:sz w:val="28"/>
          <w:szCs w:val="28"/>
        </w:rPr>
        <w:t>应提供:</w:t>
      </w:r>
      <w:r>
        <w:rPr>
          <w:rFonts w:hint="eastAsia" w:asciiTheme="minorEastAsia" w:hAnsiTheme="minorEastAsia" w:eastAsiaTheme="minorEastAsia" w:cstheme="minorEastAsia"/>
          <w:color w:val="auto"/>
          <w:kern w:val="0"/>
          <w:sz w:val="28"/>
          <w:szCs w:val="28"/>
        </w:rPr>
        <w:t>近</w:t>
      </w:r>
      <w:r>
        <w:rPr>
          <w:rFonts w:hint="eastAsia" w:asciiTheme="minorEastAsia" w:hAnsiTheme="minorEastAsia" w:eastAsiaTheme="minorEastAsia" w:cstheme="minorEastAsia"/>
          <w:color w:val="auto"/>
          <w:kern w:val="0"/>
          <w:sz w:val="28"/>
          <w:szCs w:val="28"/>
          <w:lang w:eastAsia="zh-CN"/>
        </w:rPr>
        <w:t>两</w:t>
      </w:r>
      <w:r>
        <w:rPr>
          <w:rFonts w:hint="eastAsia" w:asciiTheme="minorEastAsia" w:hAnsiTheme="minorEastAsia" w:eastAsiaTheme="minorEastAsia" w:cstheme="minorEastAsia"/>
          <w:color w:val="auto"/>
          <w:kern w:val="0"/>
          <w:sz w:val="28"/>
          <w:szCs w:val="28"/>
        </w:rPr>
        <w:t>年内</w:t>
      </w:r>
      <w:r>
        <w:rPr>
          <w:rFonts w:hint="eastAsia" w:asciiTheme="minorEastAsia" w:hAnsiTheme="minorEastAsia" w:eastAsiaTheme="minorEastAsia" w:cstheme="minorEastAsia"/>
          <w:color w:val="auto"/>
          <w:kern w:val="0"/>
          <w:sz w:val="28"/>
          <w:szCs w:val="28"/>
          <w:lang w:eastAsia="zh-CN"/>
        </w:rPr>
        <w:t>的</w:t>
      </w:r>
      <w:r>
        <w:rPr>
          <w:rFonts w:hint="eastAsia" w:asciiTheme="minorEastAsia" w:hAnsiTheme="minorEastAsia" w:eastAsiaTheme="minorEastAsia" w:cstheme="minorEastAsia"/>
          <w:color w:val="auto"/>
          <w:kern w:val="0"/>
          <w:sz w:val="28"/>
          <w:szCs w:val="28"/>
        </w:rPr>
        <w:t>，同款</w:t>
      </w:r>
      <w:r>
        <w:rPr>
          <w:rFonts w:hint="eastAsia" w:asciiTheme="minorEastAsia" w:hAnsiTheme="minorEastAsia" w:eastAsiaTheme="minorEastAsia" w:cstheme="minorEastAsia"/>
          <w:color w:val="auto"/>
          <w:kern w:val="0"/>
          <w:sz w:val="28"/>
          <w:szCs w:val="28"/>
          <w:lang w:eastAsia="zh-CN"/>
        </w:rPr>
        <w:t>设备</w:t>
      </w:r>
      <w:r>
        <w:rPr>
          <w:rFonts w:hint="eastAsia" w:asciiTheme="minorEastAsia" w:hAnsiTheme="minorEastAsia" w:eastAsiaTheme="minorEastAsia" w:cstheme="minorEastAsia"/>
          <w:color w:val="auto"/>
          <w:kern w:val="0"/>
          <w:sz w:val="28"/>
          <w:szCs w:val="28"/>
        </w:rPr>
        <w:t>销售清单及销售合同</w:t>
      </w:r>
      <w:r>
        <w:rPr>
          <w:rFonts w:hint="eastAsia" w:asciiTheme="minorEastAsia" w:hAnsiTheme="minorEastAsia" w:eastAsiaTheme="minorEastAsia" w:cstheme="minorEastAsia"/>
          <w:color w:val="auto"/>
          <w:kern w:val="0"/>
          <w:sz w:val="28"/>
          <w:szCs w:val="28"/>
          <w:lang w:eastAsia="zh-CN"/>
        </w:rPr>
        <w:t>扫描件和对方公司</w:t>
      </w:r>
      <w:r>
        <w:rPr>
          <w:rFonts w:hint="eastAsia" w:asciiTheme="minorEastAsia" w:hAnsiTheme="minorEastAsia" w:eastAsiaTheme="minorEastAsia" w:cstheme="minorEastAsia"/>
          <w:color w:val="auto"/>
          <w:kern w:val="0"/>
          <w:sz w:val="28"/>
          <w:szCs w:val="28"/>
        </w:rPr>
        <w:t>联系</w:t>
      </w:r>
      <w:r>
        <w:rPr>
          <w:rFonts w:hint="eastAsia" w:asciiTheme="minorEastAsia" w:hAnsiTheme="minorEastAsia" w:eastAsiaTheme="minorEastAsia" w:cstheme="minorEastAsia"/>
          <w:color w:val="auto"/>
          <w:kern w:val="0"/>
          <w:sz w:val="28"/>
          <w:szCs w:val="28"/>
          <w:lang w:eastAsia="zh-CN"/>
        </w:rPr>
        <w:t>方式（不接受关联公司业绩）</w:t>
      </w:r>
      <w:r>
        <w:rPr>
          <w:rFonts w:hint="eastAsia" w:asciiTheme="minorEastAsia" w:hAnsiTheme="minorEastAsia" w:eastAsiaTheme="minorEastAsia" w:cstheme="minorEastAsia"/>
          <w:color w:val="auto"/>
          <w:kern w:val="0"/>
          <w:sz w:val="28"/>
          <w:szCs w:val="28"/>
        </w:rPr>
        <w:t>。</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四、技术资料</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提供操作手册一套。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bookmarkStart w:id="0" w:name="_Toc211769022"/>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人员培训</w:t>
      </w:r>
      <w:bookmarkEnd w:id="0"/>
      <w:bookmarkStart w:id="1" w:name="_Toc211769023"/>
    </w:p>
    <w:p>
      <w:pPr>
        <w:keepNext w:val="0"/>
        <w:keepLines w:val="0"/>
        <w:pageBreakBefore w:val="0"/>
        <w:numPr>
          <w:ilvl w:val="0"/>
          <w:numId w:val="0"/>
        </w:numPr>
        <w:kinsoku/>
        <w:wordWrap/>
        <w:overflowPunct/>
        <w:topLinePunct w:val="0"/>
        <w:bidi w:val="0"/>
        <w:snapToGrid w:val="0"/>
        <w:spacing w:beforeAutospacing="0" w:afterAutospacing="0" w:line="360" w:lineRule="auto"/>
        <w:ind w:left="1117" w:leftChars="532" w:firstLine="0" w:firstLineChars="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投标人</w:t>
      </w:r>
      <w:r>
        <w:rPr>
          <w:rFonts w:hint="eastAsia" w:asciiTheme="minorEastAsia" w:hAnsiTheme="minorEastAsia" w:eastAsiaTheme="minorEastAsia" w:cstheme="minorEastAsia"/>
          <w:kern w:val="0"/>
          <w:sz w:val="28"/>
          <w:szCs w:val="28"/>
        </w:rPr>
        <w:t>应提供现场或外出技术培训，保证</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使用人员正常操作设备的各种功能。</w:t>
      </w:r>
    </w:p>
    <w:bookmarkEnd w:id="1"/>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keepNext w:val="0"/>
        <w:keepLines w:val="0"/>
        <w:pageBreakBefore w:val="0"/>
        <w:numPr>
          <w:ilvl w:val="0"/>
          <w:numId w:val="3"/>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投标文件应按规定内容和格式编制，投标文件不按规定内容和格</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式编制或有实质性的漏项，有可能造成无效投标。</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eastAsia="zh-CN"/>
        </w:rPr>
        <w:t>身份</w:t>
      </w:r>
      <w:r>
        <w:rPr>
          <w:rFonts w:hint="eastAsia" w:asciiTheme="minorEastAsia" w:hAnsiTheme="minorEastAsia" w:eastAsiaTheme="minorEastAsia" w:cstheme="minorEastAsia"/>
          <w:sz w:val="28"/>
          <w:szCs w:val="28"/>
        </w:rPr>
        <w:t>证明</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法定代表人的授权委托书；</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质量保证措施</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（十二）质保期承诺函；附件（八）</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两</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eastAsia="zh-CN"/>
        </w:rPr>
        <w:t>（十五）</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beforeAutospacing="0" w:afterAutospacing="0" w:line="360" w:lineRule="auto"/>
        <w:ind w:left="1961" w:leftChars="934" w:firstLine="573" w:firstLineChars="20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设备价格：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（一）设备价格执行乙方投标价格。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投标价格包括设备价格、运输、安装、调试、验收等所有与此相关的投入和收益。</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税费</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等费用</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由乙方负责人员和甲方采购主办部门、财务部门、经管部门共同开箱确认设备的型号以及清点备品备件，核对装箱清单，确认合格应在验收单据上共同签字确认。</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2、设备安装后，设备的各项性能指标均能达到招标文件的要求，双方即签署验收文件，设备被视为验收通过。</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技术人员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切费用。</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、设备款的</w:t>
      </w:r>
      <w:r>
        <w:rPr>
          <w:rFonts w:hint="eastAsia" w:asciiTheme="minorEastAsia" w:hAnsiTheme="minorEastAsia" w:eastAsiaTheme="minorEastAsia" w:cstheme="minorEastAsia"/>
          <w:sz w:val="28"/>
          <w:szCs w:val="28"/>
          <w:lang w:eastAsia="zh-CN"/>
        </w:rPr>
        <w:t>结算与</w:t>
      </w:r>
      <w:r>
        <w:rPr>
          <w:rFonts w:hint="eastAsia" w:asciiTheme="minorEastAsia" w:hAnsiTheme="minorEastAsia" w:eastAsiaTheme="minorEastAsia" w:cstheme="minorEastAsia"/>
          <w:sz w:val="28"/>
          <w:szCs w:val="28"/>
        </w:rPr>
        <w:t>支付</w:t>
      </w:r>
    </w:p>
    <w:p>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rPr>
        <w:t>无预付款。</w:t>
      </w: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据为依据进行结算。</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b w:val="0"/>
          <w:bCs w:val="0"/>
          <w:sz w:val="28"/>
          <w:szCs w:val="28"/>
          <w:lang w:eastAsia="zh-CN"/>
        </w:rPr>
        <w:t>乙</w:t>
      </w:r>
      <w:r>
        <w:rPr>
          <w:rFonts w:hint="eastAsia" w:asciiTheme="minorEastAsia" w:hAnsiTheme="minorEastAsia" w:eastAsiaTheme="minorEastAsia" w:cstheme="minorEastAsia"/>
          <w:b w:val="0"/>
          <w:bCs w:val="0"/>
          <w:sz w:val="28"/>
          <w:szCs w:val="28"/>
        </w:rPr>
        <w:t>方提供增值税专用发票</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13%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（一）乙方应于接到中标通知书后的5日内向甲方指定账户打入成交</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金额10%的履约保证金。</w:t>
      </w:r>
    </w:p>
    <w:p>
      <w:pPr>
        <w:numPr>
          <w:ilvl w:val="0"/>
          <w:numId w:val="4"/>
        </w:numPr>
        <w:snapToGrid w:val="0"/>
        <w:spacing w:line="360" w:lineRule="auto"/>
        <w:jc w:val="left"/>
        <w:rPr>
          <w:rFonts w:hint="eastAsia" w:cs="宋体"/>
          <w:sz w:val="28"/>
          <w:szCs w:val="28"/>
        </w:rPr>
      </w:pPr>
      <w:r>
        <w:rPr>
          <w:rFonts w:hint="eastAsia" w:cs="宋体"/>
          <w:sz w:val="28"/>
          <w:szCs w:val="28"/>
        </w:rPr>
        <w:t>履约保证金在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无息退</w:t>
      </w:r>
    </w:p>
    <w:p>
      <w:pPr>
        <w:numPr>
          <w:numId w:val="0"/>
        </w:numPr>
        <w:snapToGrid w:val="0"/>
        <w:spacing w:line="360" w:lineRule="auto"/>
        <w:jc w:val="left"/>
        <w:rPr>
          <w:rFonts w:hint="eastAsia" w:eastAsia="宋体" w:cs="宋体"/>
          <w:sz w:val="28"/>
          <w:szCs w:val="28"/>
          <w:lang w:val="en-US" w:eastAsia="zh-CN"/>
        </w:rPr>
      </w:pPr>
      <w:bookmarkStart w:id="2" w:name="_GoBack"/>
      <w:bookmarkEnd w:id="2"/>
      <w:r>
        <w:rPr>
          <w:rFonts w:hint="eastAsia" w:cs="宋体"/>
          <w:sz w:val="28"/>
          <w:szCs w:val="28"/>
        </w:rPr>
        <w:t>还</w:t>
      </w:r>
      <w:r>
        <w:rPr>
          <w:rFonts w:hint="eastAsia" w:cs="宋体"/>
          <w:sz w:val="28"/>
          <w:szCs w:val="28"/>
          <w:lang w:eastAsia="zh-CN"/>
        </w:rPr>
        <w:t>。</w:t>
      </w:r>
    </w:p>
    <w:p>
      <w:pPr>
        <w:snapToGrid w:val="0"/>
        <w:spacing w:line="360" w:lineRule="auto"/>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w:t>
      </w:r>
    </w:p>
    <w:p>
      <w:pPr>
        <w:snapToGrid w:val="0"/>
        <w:spacing w:line="360" w:lineRule="auto"/>
        <w:jc w:val="left"/>
        <w:rPr>
          <w:rFonts w:hint="eastAsia" w:ascii="宋体" w:hAnsi="宋体" w:cs="宋体"/>
          <w:sz w:val="28"/>
          <w:szCs w:val="28"/>
        </w:rPr>
      </w:pPr>
      <w:r>
        <w:rPr>
          <w:rFonts w:hint="eastAsia" w:ascii="宋体" w:hAnsi="宋体" w:cs="宋体"/>
          <w:sz w:val="28"/>
          <w:szCs w:val="28"/>
        </w:rPr>
        <w:t>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jc w:val="left"/>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24</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r>
        <w:rPr>
          <w:rFonts w:hint="eastAsia" w:ascii="宋体" w:hAnsi="宋体" w:cs="宋体"/>
          <w:sz w:val="28"/>
          <w:szCs w:val="28"/>
          <w:lang w:eastAsia="zh-CN"/>
        </w:rPr>
        <w:t>直至解决运行故障</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keepNext w:val="0"/>
        <w:keepLines w:val="0"/>
        <w:pageBreakBefore w:val="0"/>
        <w:widowControl/>
        <w:numPr>
          <w:ilvl w:val="0"/>
          <w:numId w:val="5"/>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自验收合格之日起 15 天内出现非人为原因的故障致使设备</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无法正常使用，乙方无条件退换，乙方保证退换设备与先前设备同一品质。</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r>
        <w:rPr>
          <w:rFonts w:hint="eastAsia" w:ascii="华文仿宋" w:hAnsi="华文仿宋" w:cs="宋体"/>
          <w:color w:val="000000" w:themeColor="text1"/>
          <w:sz w:val="28"/>
          <w:szCs w:val="28"/>
          <w14:textFill>
            <w14:solidFill>
              <w14:schemeClr w14:val="tx1"/>
            </w14:solidFill>
          </w14:textFill>
        </w:rPr>
        <w:t>（按全年365天计算）</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hint="eastAsia" w:ascii="宋体" w:hAnsi="宋体" w:cs="宋体"/>
          <w:sz w:val="28"/>
          <w:szCs w:val="28"/>
          <w:lang w:eastAsia="zh-CN"/>
        </w:rPr>
        <w:t>合同价款的日千分之二</w:t>
      </w:r>
      <w:r>
        <w:rPr>
          <w:rFonts w:hint="eastAsia" w:ascii="宋体" w:hAnsi="宋体" w:cs="宋体"/>
          <w:color w:val="000000" w:themeColor="text1"/>
          <w:sz w:val="28"/>
          <w:szCs w:val="28"/>
          <w14:textFill>
            <w14:solidFill>
              <w14:schemeClr w14:val="tx1"/>
            </w14:solidFill>
          </w14:textFill>
        </w:rPr>
        <w:t>交纳</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rPr>
      </w:pPr>
      <w:r>
        <w:rPr>
          <w:rFonts w:hint="eastAsia" w:ascii="宋体" w:hAnsi="宋体" w:cs="宋体"/>
          <w:color w:val="000000" w:themeColor="text1"/>
          <w:sz w:val="28"/>
          <w:szCs w:val="28"/>
          <w14:textFill>
            <w14:solidFill>
              <w14:schemeClr w14:val="tx1"/>
            </w14:solidFill>
          </w14:textFill>
        </w:rPr>
        <w:t>违约金</w:t>
      </w:r>
      <w:r>
        <w:rPr>
          <w:rFonts w:hint="eastAsia" w:ascii="宋体" w:hAnsi="宋体" w:cs="宋体"/>
          <w:color w:val="000000" w:themeColor="text1"/>
          <w:sz w:val="28"/>
          <w:szCs w:val="28"/>
          <w:lang w:eastAsia="zh-CN"/>
          <w14:textFill>
            <w14:solidFill>
              <w14:schemeClr w14:val="tx1"/>
            </w14:solidFill>
          </w14:textFill>
        </w:rPr>
        <w:t>，从履约保证金中扣除。</w:t>
      </w:r>
      <w:r>
        <w:rPr>
          <w:rFonts w:hint="eastAsia" w:ascii="宋体" w:hAnsi="宋体" w:cs="宋体"/>
          <w:color w:val="000000" w:themeColor="text1"/>
          <w:sz w:val="28"/>
          <w:szCs w:val="28"/>
          <w14:textFill>
            <w14:solidFill>
              <w14:schemeClr w14:val="tx1"/>
            </w14:solidFill>
          </w14:textFill>
        </w:rPr>
        <w:t>当违约金达到合同款的</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％时</w:t>
      </w:r>
      <w:r>
        <w:rPr>
          <w:rFonts w:hint="eastAsia" w:ascii="宋体" w:hAnsi="宋体" w:cs="宋体"/>
          <w:sz w:val="28"/>
          <w:szCs w:val="28"/>
        </w:rPr>
        <w:t>，</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eastAsia="zh-CN"/>
        </w:rPr>
        <w:t>若乙方不能及时提供售后服务，</w:t>
      </w:r>
      <w:r>
        <w:rPr>
          <w:rFonts w:hint="eastAsia" w:ascii="华文仿宋" w:hAnsi="华文仿宋" w:cs="宋体"/>
          <w:color w:val="000000" w:themeColor="text1"/>
          <w:sz w:val="28"/>
          <w:szCs w:val="28"/>
          <w14:textFill>
            <w14:solidFill>
              <w14:schemeClr w14:val="tx1"/>
            </w14:solidFill>
          </w14:textFill>
        </w:rPr>
        <w:t>每逾期一次，保修期限延长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30天。因乙方不能及时提供服务，甲方有权安排第三方进行处理，费用从履约保证金中扣除，大于履约保证金的甲方有权向乙方追偿。</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）设备全年开机率要求大于95％以上（按全年365天计算），乙方更换的设备不能达到上述约定，停机时间每超过1天，保修期顺延3天。</w:t>
      </w:r>
      <w:r>
        <w:rPr>
          <w:rFonts w:hint="eastAsia" w:ascii="华文仿宋" w:hAnsi="华文仿宋" w:cs="宋体"/>
          <w:color w:val="000000" w:themeColor="text1"/>
          <w:sz w:val="28"/>
          <w:szCs w:val="28"/>
          <w:lang w:eastAsia="zh-CN"/>
          <w14:textFill>
            <w14:solidFill>
              <w14:schemeClr w14:val="tx1"/>
            </w14:solidFill>
          </w14:textFill>
        </w:rPr>
        <w:t>因售后服务和设备开机率低导致的保修期延长时间，两者可以累加。</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）乙方提供设备为非全新设备，甲方拒付所有款项，履约保证金不予退还。因非全新设备给甲方造成损失由乙方承担。</w:t>
      </w: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numPr>
          <w:ilvl w:val="0"/>
          <w:numId w:val="0"/>
        </w:num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招标人组建评标委员会，评标委员会按照评标办法的规定进行评</w:t>
      </w:r>
    </w:p>
    <w:p>
      <w:pPr>
        <w:numPr>
          <w:ilvl w:val="0"/>
          <w:numId w:val="0"/>
        </w:num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（一）开标</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1、招标人按规定的时间和地点公开开标，并邀请所有投标人代表参</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加。投标人法定代表人或被授权代理人必须参加开标会议，法定代表</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人或被授权代理人出示法人身份证明书或法人授权委托书及有效身</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份证明的原件(格式参照招标文件提供的格式)，以便开标会议上证明</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其身份。以上证件不能出示或不符合要求的，其投标文件将被拒收。</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投标单位参加开标的法定代表人或授权代理人，必须在规定的投</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标文件递交截止时间前到达现场签到,否则将拒收投标文件。</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投标企业提供的以上材料须真实可靠，如有弄虚作假，一经发现查实，将不予退还投标保证金，取消投（中）标资格，并在发布招标文件的网站上公示。</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4、开标由招标方项目负责人主持，并按规定的程序进行：</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5、下列情况之一者招标方拒收投标文件：</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5.1投标文件未按招标文件要求密封；</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5.2投标文件送交时间已超过招标文件规定的投标截止时间；</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（二）评标</w:t>
      </w:r>
    </w:p>
    <w:p>
      <w:pPr>
        <w:pStyle w:val="10"/>
        <w:snapToGrid w:val="0"/>
        <w:spacing w:line="360" w:lineRule="auto"/>
        <w:jc w:val="left"/>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1、评标工作由招标单位依法组建的评标委员会负责，评标委员会</w:t>
      </w:r>
      <w:r>
        <w:rPr>
          <w:rFonts w:hint="eastAsia" w:ascii="宋体" w:hAnsi="宋体" w:cs="宋体"/>
          <w:kern w:val="2"/>
          <w:sz w:val="28"/>
          <w:szCs w:val="28"/>
          <w:lang w:val="en-US" w:eastAsia="zh-CN" w:bidi="ar-SA"/>
        </w:rPr>
        <w:t>成</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员</w:t>
      </w:r>
      <w:r>
        <w:rPr>
          <w:rFonts w:hint="eastAsia" w:ascii="宋体" w:hAnsi="宋体" w:eastAsia="宋体" w:cs="宋体"/>
          <w:kern w:val="2"/>
          <w:sz w:val="28"/>
          <w:szCs w:val="28"/>
          <w:lang w:val="en-US" w:eastAsia="zh-CN" w:bidi="ar-SA"/>
        </w:rPr>
        <w:t>随机选取，评委会推举一名组长。招标人招标管理人员和纪律检查</w:t>
      </w:r>
    </w:p>
    <w:p>
      <w:pPr>
        <w:pStyle w:val="10"/>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kern w:val="2"/>
          <w:sz w:val="28"/>
          <w:szCs w:val="28"/>
          <w:lang w:val="en-US" w:eastAsia="zh-CN" w:bidi="ar-SA"/>
        </w:rPr>
        <w:t>人员全程监督。</w:t>
      </w:r>
      <w:r>
        <w:rPr>
          <w:rFonts w:hint="eastAsia" w:ascii="华文仿宋" w:hAnsi="华文仿宋" w:cs="宋体"/>
          <w:color w:val="000000" w:themeColor="text1"/>
          <w:sz w:val="28"/>
          <w:szCs w:val="28"/>
          <w14:textFill>
            <w14:solidFill>
              <w14:schemeClr w14:val="tx1"/>
            </w14:solidFill>
          </w14:textFill>
        </w:rPr>
        <w:t>评标委员会对招标文件理解出现偏差或遗漏时，招标</w:t>
      </w:r>
    </w:p>
    <w:p>
      <w:pPr>
        <w:pStyle w:val="10"/>
        <w:snapToGrid w:val="0"/>
        <w:spacing w:line="360" w:lineRule="auto"/>
        <w:jc w:val="left"/>
        <w:rPr>
          <w:rFonts w:hint="eastAsia" w:ascii="宋体" w:hAnsi="宋体" w:eastAsia="宋体" w:cs="宋体"/>
          <w:kern w:val="2"/>
          <w:sz w:val="28"/>
          <w:szCs w:val="28"/>
          <w:lang w:val="en-US" w:eastAsia="zh-CN" w:bidi="ar-SA"/>
        </w:rPr>
      </w:pPr>
      <w:r>
        <w:rPr>
          <w:rFonts w:hint="eastAsia" w:ascii="华文仿宋" w:hAnsi="华文仿宋" w:cs="宋体"/>
          <w:color w:val="000000" w:themeColor="text1"/>
          <w:sz w:val="28"/>
          <w:szCs w:val="28"/>
          <w14:textFill>
            <w14:solidFill>
              <w14:schemeClr w14:val="tx1"/>
            </w14:solidFill>
          </w14:textFill>
        </w:rPr>
        <w:t>管理人员提醒和督促纠正，纪律检查人员负责评标工作秩序的维持。</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评标委员会首先审查投标人资格文件，资格审查合格后，对具备</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实质上响应的投标文件进行评估和比较。</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投标人不得企图向评委及招标方代表施加任何影响，否则将会导致投标作废。</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10"/>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评标委员会将拒绝被确定为非实质性响应的投标，投标人不能通过修正或撤销不符之处而使其投标成为实质性响应的投标。</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评标采用保密方式进行。</w:t>
      </w:r>
    </w:p>
    <w:p>
      <w:pPr>
        <w:pStyle w:val="10"/>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5.2</w:t>
      </w:r>
      <w:r>
        <w:rPr>
          <w:rFonts w:hint="eastAsia" w:ascii="华文仿宋" w:hAnsi="华文仿宋" w:cs="宋体"/>
          <w:color w:val="000000" w:themeColor="text1"/>
          <w:sz w:val="28"/>
          <w:szCs w:val="28"/>
          <w14:textFill>
            <w14:solidFill>
              <w14:schemeClr w14:val="tx1"/>
            </w14:solidFill>
          </w14:textFill>
        </w:rPr>
        <w:t>本次评标采用综合评标法，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5.3</w:t>
      </w:r>
      <w:r>
        <w:rPr>
          <w:rFonts w:hint="eastAsia" w:ascii="华文仿宋" w:hAnsi="华文仿宋" w:cs="宋体"/>
          <w:color w:val="000000" w:themeColor="text1"/>
          <w:sz w:val="28"/>
          <w:szCs w:val="28"/>
          <w14:textFill>
            <w14:solidFill>
              <w14:schemeClr w14:val="tx1"/>
            </w14:solidFill>
          </w14:textFill>
        </w:rPr>
        <w:t>中标人的确定：招标人报请院领导集体确定，从评标委员会推荐</w:t>
      </w:r>
    </w:p>
    <w:p>
      <w:pPr>
        <w:snapToGrid w:val="0"/>
        <w:spacing w:line="360" w:lineRule="auto"/>
        <w:jc w:val="left"/>
        <w:rPr>
          <w:rFonts w:hint="eastAsia"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的中标候选人中确定预中标人，进行不少于</w:t>
      </w:r>
      <w:r>
        <w:rPr>
          <w:rFonts w:ascii="华文仿宋" w:hAnsi="华文仿宋" w:cs="宋体"/>
          <w:color w:val="000000" w:themeColor="text1"/>
          <w:sz w:val="28"/>
          <w:szCs w:val="28"/>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个工作日的公示</w:t>
      </w:r>
      <w:r>
        <w:rPr>
          <w:rFonts w:hint="eastAsia" w:ascii="华文仿宋" w:hAnsi="华文仿宋" w:cs="宋体"/>
          <w:color w:val="000000" w:themeColor="text1"/>
          <w:sz w:val="28"/>
          <w:szCs w:val="28"/>
          <w:lang w:eastAsia="zh-CN"/>
          <w14:textFill>
            <w14:solidFill>
              <w14:schemeClr w14:val="tx1"/>
            </w14:solidFill>
          </w14:textFill>
        </w:rPr>
        <w:t>。</w:t>
      </w:r>
    </w:p>
    <w:p>
      <w:pPr>
        <w:numPr>
          <w:ilvl w:val="0"/>
          <w:numId w:val="0"/>
        </w:numPr>
        <w:autoSpaceDE w:val="0"/>
        <w:autoSpaceDN w:val="0"/>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评标完成后，评标委员会向招标人提交书面评标报告和推荐2名中标候选人，并按照综合得分由高到低标明排序。</w:t>
      </w:r>
    </w:p>
    <w:p>
      <w:pPr>
        <w:pStyle w:val="10"/>
        <w:snapToGrid w:val="0"/>
        <w:spacing w:line="360" w:lineRule="auto"/>
        <w:jc w:val="left"/>
        <w:rPr>
          <w:rFonts w:hint="eastAsia" w:asciiTheme="minorEastAsia" w:hAnsiTheme="minorEastAsia" w:cstheme="minorEastAsia"/>
          <w:sz w:val="28"/>
          <w:szCs w:val="28"/>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w:t>
      </w:r>
      <w:r>
        <w:rPr>
          <w:rFonts w:hint="eastAsia" w:asciiTheme="minorEastAsia" w:hAnsiTheme="minorEastAsia" w:cstheme="minorEastAsia"/>
          <w:sz w:val="28"/>
          <w:szCs w:val="28"/>
        </w:rPr>
        <w:t>综合评分标准见下表</w:t>
      </w:r>
    </w:p>
    <w:tbl>
      <w:tblPr>
        <w:tblStyle w:val="11"/>
        <w:tblW w:w="9723" w:type="dxa"/>
        <w:tblInd w:w="98" w:type="dxa"/>
        <w:tblLayout w:type="fixed"/>
        <w:tblCellMar>
          <w:top w:w="0" w:type="dxa"/>
          <w:left w:w="108" w:type="dxa"/>
          <w:bottom w:w="0" w:type="dxa"/>
          <w:right w:w="108" w:type="dxa"/>
        </w:tblCellMar>
      </w:tblPr>
      <w:tblGrid>
        <w:gridCol w:w="760"/>
        <w:gridCol w:w="1518"/>
        <w:gridCol w:w="705"/>
        <w:gridCol w:w="6740"/>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518"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05"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674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ascii="宋体" w:cs="宋体"/>
                <w:kern w:val="0"/>
                <w:sz w:val="25"/>
                <w:szCs w:val="25"/>
              </w:rPr>
            </w:pPr>
            <w:r>
              <w:rPr>
                <w:rFonts w:hint="eastAsia" w:ascii="宋体" w:hAnsi="宋体" w:eastAsia="宋体" w:cs="宋体"/>
                <w:i w:val="0"/>
                <w:iCs w:val="0"/>
                <w:color w:val="000000"/>
                <w:kern w:val="0"/>
                <w:sz w:val="22"/>
                <w:szCs w:val="22"/>
                <w:u w:val="none"/>
                <w:lang w:val="en-US" w:eastAsia="zh-CN" w:bidi="ar"/>
              </w:rPr>
              <w:t>1</w:t>
            </w:r>
          </w:p>
        </w:tc>
        <w:tc>
          <w:tcPr>
            <w:tcW w:w="1518"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投标总报价</w:t>
            </w:r>
          </w:p>
        </w:tc>
        <w:tc>
          <w:tcPr>
            <w:tcW w:w="705"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55</w:t>
            </w:r>
          </w:p>
        </w:tc>
        <w:tc>
          <w:tcPr>
            <w:tcW w:w="6740"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所有通过评审的有效报价，最低报价为评标基准价满分</w:t>
            </w:r>
            <w:r>
              <w:rPr>
                <w:rFonts w:hint="eastAsia" w:ascii="宋体" w:hAnsi="宋体" w:cs="宋体"/>
                <w:kern w:val="0"/>
                <w:sz w:val="25"/>
                <w:szCs w:val="25"/>
                <w:lang w:val="en-US" w:eastAsia="zh-CN"/>
              </w:rPr>
              <w:t>55</w:t>
            </w:r>
            <w:r>
              <w:rPr>
                <w:rFonts w:hint="eastAsia" w:ascii="宋体" w:hAnsi="宋体" w:cs="宋体"/>
                <w:kern w:val="0"/>
                <w:sz w:val="25"/>
                <w:szCs w:val="25"/>
              </w:rPr>
              <w:t>。报价得分</w:t>
            </w:r>
            <w:r>
              <w:rPr>
                <w:rFonts w:ascii="宋体" w:hAnsi="宋体" w:cs="宋体"/>
                <w:kern w:val="0"/>
                <w:sz w:val="25"/>
                <w:szCs w:val="25"/>
              </w:rPr>
              <w:t>=</w:t>
            </w:r>
            <w:r>
              <w:rPr>
                <w:rFonts w:hint="eastAsia" w:ascii="宋体" w:hAnsi="宋体" w:cs="宋体"/>
                <w:kern w:val="0"/>
                <w:sz w:val="25"/>
                <w:szCs w:val="25"/>
              </w:rPr>
              <w:t>（评标基准价</w:t>
            </w:r>
            <w:r>
              <w:rPr>
                <w:rFonts w:ascii="宋体" w:hAnsi="宋体" w:cs="宋体"/>
                <w:kern w:val="0"/>
                <w:sz w:val="25"/>
                <w:szCs w:val="25"/>
              </w:rPr>
              <w:t>/</w:t>
            </w:r>
            <w:r>
              <w:rPr>
                <w:rFonts w:hint="eastAsia" w:ascii="宋体" w:hAnsi="宋体" w:cs="宋体"/>
                <w:kern w:val="0"/>
                <w:sz w:val="25"/>
                <w:szCs w:val="25"/>
              </w:rPr>
              <w:t>投标报价）×</w:t>
            </w:r>
            <w:r>
              <w:rPr>
                <w:rFonts w:hint="eastAsia" w:ascii="宋体" w:hAnsi="宋体" w:cs="宋体"/>
                <w:kern w:val="0"/>
                <w:sz w:val="25"/>
                <w:szCs w:val="25"/>
                <w:lang w:val="en-US" w:eastAsia="zh-CN"/>
              </w:rPr>
              <w:t>55</w:t>
            </w:r>
            <w:r>
              <w:rPr>
                <w:rFonts w:hint="eastAsia" w:ascii="宋体" w:hAnsi="宋体" w:cs="宋体"/>
                <w:kern w:val="0"/>
                <w:sz w:val="25"/>
                <w:szCs w:val="25"/>
              </w:rPr>
              <w:t>。</w:t>
            </w:r>
          </w:p>
        </w:tc>
      </w:tr>
      <w:tr>
        <w:tblPrEx>
          <w:tblCellMar>
            <w:top w:w="0" w:type="dxa"/>
            <w:left w:w="108" w:type="dxa"/>
            <w:bottom w:w="0" w:type="dxa"/>
            <w:right w:w="108" w:type="dxa"/>
          </w:tblCellMar>
        </w:tblPrEx>
        <w:trPr>
          <w:trHeight w:val="1591"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eastAsia" w:ascii="宋体" w:hAnsi="宋体" w:eastAsia="宋体" w:cs="宋体"/>
                <w:kern w:val="0"/>
                <w:sz w:val="25"/>
                <w:szCs w:val="25"/>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left"/>
              <w:rPr>
                <w:rFonts w:hint="eastAsia" w:ascii="宋体" w:hAnsi="宋体" w:cs="宋体"/>
                <w:color w:val="auto"/>
                <w:kern w:val="0"/>
                <w:sz w:val="25"/>
                <w:szCs w:val="25"/>
                <w:lang w:val="en-US" w:eastAsia="zh-CN"/>
              </w:rPr>
            </w:pPr>
            <w:r>
              <w:rPr>
                <w:rFonts w:hint="eastAsia" w:ascii="宋体" w:hAnsi="宋体" w:cs="宋体"/>
                <w:color w:val="auto"/>
                <w:kern w:val="0"/>
                <w:sz w:val="25"/>
                <w:szCs w:val="25"/>
                <w:lang w:eastAsia="zh-CN"/>
              </w:rPr>
              <w:t>参数正偏</w:t>
            </w:r>
          </w:p>
        </w:tc>
        <w:tc>
          <w:tcPr>
            <w:tcW w:w="70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rPr>
                <w:rFonts w:hint="eastAsia" w:ascii="宋体" w:hAnsi="宋体" w:cs="宋体"/>
                <w:color w:val="auto"/>
                <w:kern w:val="0"/>
                <w:sz w:val="25"/>
                <w:szCs w:val="25"/>
                <w:lang w:val="en-US" w:eastAsia="zh-CN"/>
              </w:rPr>
            </w:pPr>
            <w:r>
              <w:rPr>
                <w:rFonts w:hint="eastAsia" w:ascii="宋体" w:hAnsi="宋体" w:cs="宋体"/>
                <w:color w:val="auto"/>
                <w:kern w:val="0"/>
                <w:sz w:val="25"/>
                <w:szCs w:val="25"/>
                <w:lang w:val="en-US" w:eastAsia="zh-CN"/>
              </w:rPr>
              <w:t>5</w:t>
            </w:r>
          </w:p>
        </w:tc>
        <w:tc>
          <w:tcPr>
            <w:tcW w:w="6740" w:type="dxa"/>
            <w:tcBorders>
              <w:top w:val="single" w:color="auto" w:sz="4" w:space="0"/>
              <w:left w:val="nil"/>
              <w:bottom w:val="single" w:color="auto" w:sz="4" w:space="0"/>
              <w:right w:val="single" w:color="auto" w:sz="4" w:space="0"/>
            </w:tcBorders>
            <w:vAlign w:val="center"/>
          </w:tcPr>
          <w:p>
            <w:pPr>
              <w:widowControl/>
              <w:numPr>
                <w:ilvl w:val="0"/>
                <w:numId w:val="0"/>
              </w:numPr>
              <w:ind w:leftChars="0"/>
              <w:jc w:val="left"/>
              <w:rPr>
                <w:rFonts w:hint="eastAsia" w:ascii="宋体" w:hAnsi="宋体" w:cs="宋体"/>
                <w:color w:val="auto"/>
                <w:kern w:val="0"/>
                <w:sz w:val="25"/>
                <w:szCs w:val="25"/>
                <w:lang w:val="en-US" w:eastAsia="zh-CN"/>
              </w:rPr>
            </w:pPr>
            <w:r>
              <w:rPr>
                <w:rFonts w:hint="eastAsia" w:ascii="宋体" w:hAnsi="宋体" w:cs="宋体"/>
                <w:color w:val="auto"/>
                <w:kern w:val="0"/>
                <w:sz w:val="25"/>
                <w:szCs w:val="25"/>
                <w:lang w:eastAsia="zh-CN"/>
              </w:rPr>
              <w:t>每个正偏离得</w:t>
            </w:r>
            <w:r>
              <w:rPr>
                <w:rFonts w:hint="eastAsia" w:ascii="宋体" w:hAnsi="宋体" w:cs="宋体"/>
                <w:color w:val="auto"/>
                <w:kern w:val="0"/>
                <w:sz w:val="25"/>
                <w:szCs w:val="25"/>
                <w:lang w:val="en-US" w:eastAsia="zh-CN"/>
              </w:rPr>
              <w:t>1</w:t>
            </w:r>
            <w:r>
              <w:rPr>
                <w:rFonts w:hint="eastAsia" w:ascii="宋体" w:hAnsi="宋体" w:cs="宋体"/>
                <w:color w:val="auto"/>
                <w:kern w:val="0"/>
                <w:sz w:val="25"/>
                <w:szCs w:val="25"/>
                <w:lang w:eastAsia="zh-CN"/>
              </w:rPr>
              <w:t>分，最高</w:t>
            </w:r>
            <w:r>
              <w:rPr>
                <w:rFonts w:hint="eastAsia" w:ascii="宋体" w:hAnsi="宋体" w:cs="宋体"/>
                <w:color w:val="auto"/>
                <w:kern w:val="0"/>
                <w:sz w:val="25"/>
                <w:szCs w:val="25"/>
                <w:lang w:val="en-US" w:eastAsia="zh-CN"/>
              </w:rPr>
              <w:t>5</w:t>
            </w:r>
            <w:r>
              <w:rPr>
                <w:rFonts w:hint="eastAsia" w:ascii="宋体" w:hAnsi="宋体" w:cs="宋体"/>
                <w:color w:val="auto"/>
                <w:kern w:val="0"/>
                <w:sz w:val="25"/>
                <w:szCs w:val="25"/>
                <w:lang w:eastAsia="zh-CN"/>
              </w:rPr>
              <w:t>分，没有得0分。（非功能性正偏离不得分）</w:t>
            </w:r>
          </w:p>
        </w:tc>
      </w:tr>
      <w:tr>
        <w:tblPrEx>
          <w:tblCellMar>
            <w:top w:w="0" w:type="dxa"/>
            <w:left w:w="108" w:type="dxa"/>
            <w:bottom w:w="0" w:type="dxa"/>
            <w:right w:w="108" w:type="dxa"/>
          </w:tblCellMar>
        </w:tblPrEx>
        <w:trPr>
          <w:trHeight w:val="1356"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eastAsia" w:ascii="宋体" w:hAnsi="宋体" w:eastAsia="宋体" w:cs="宋体"/>
                <w:kern w:val="0"/>
                <w:sz w:val="25"/>
                <w:szCs w:val="25"/>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left"/>
              <w:rPr>
                <w:rFonts w:hint="eastAsia" w:ascii="宋体" w:hAnsi="宋体" w:cs="宋体"/>
                <w:color w:val="auto"/>
                <w:kern w:val="0"/>
                <w:sz w:val="25"/>
                <w:szCs w:val="25"/>
                <w:lang w:val="en-US" w:eastAsia="zh-CN"/>
              </w:rPr>
            </w:pPr>
            <w:r>
              <w:rPr>
                <w:rFonts w:hint="eastAsia" w:ascii="宋体" w:hAnsi="宋体" w:cs="宋体"/>
                <w:color w:val="auto"/>
                <w:kern w:val="0"/>
                <w:sz w:val="25"/>
                <w:szCs w:val="25"/>
                <w:lang w:eastAsia="zh-CN"/>
              </w:rPr>
              <w:t>参数</w:t>
            </w:r>
            <w:r>
              <w:rPr>
                <w:rFonts w:hint="eastAsia" w:ascii="宋体" w:hAnsi="宋体" w:cs="宋体"/>
                <w:color w:val="auto"/>
                <w:kern w:val="0"/>
                <w:sz w:val="25"/>
                <w:szCs w:val="25"/>
              </w:rPr>
              <w:t>负偏</w:t>
            </w:r>
          </w:p>
        </w:tc>
        <w:tc>
          <w:tcPr>
            <w:tcW w:w="70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rPr>
                <w:rFonts w:hint="eastAsia" w:ascii="宋体" w:hAnsi="宋体" w:cs="宋体"/>
                <w:color w:val="auto"/>
                <w:kern w:val="0"/>
                <w:sz w:val="25"/>
                <w:szCs w:val="25"/>
                <w:lang w:val="en-US" w:eastAsia="zh-CN"/>
              </w:rPr>
            </w:pPr>
            <w:r>
              <w:rPr>
                <w:rFonts w:hint="eastAsia" w:ascii="宋体" w:hAnsi="宋体" w:cs="宋体"/>
                <w:color w:val="auto"/>
                <w:kern w:val="0"/>
                <w:sz w:val="25"/>
                <w:szCs w:val="25"/>
                <w:lang w:val="en-US" w:eastAsia="zh-CN"/>
              </w:rPr>
              <w:t>5</w:t>
            </w:r>
          </w:p>
        </w:tc>
        <w:tc>
          <w:tcPr>
            <w:tcW w:w="6740" w:type="dxa"/>
            <w:tcBorders>
              <w:top w:val="single" w:color="auto" w:sz="4" w:space="0"/>
              <w:left w:val="nil"/>
              <w:bottom w:val="single" w:color="auto" w:sz="4" w:space="0"/>
              <w:right w:val="single" w:color="auto" w:sz="4" w:space="0"/>
            </w:tcBorders>
            <w:vAlign w:val="center"/>
          </w:tcPr>
          <w:p>
            <w:pPr>
              <w:widowControl/>
              <w:numPr>
                <w:ilvl w:val="0"/>
                <w:numId w:val="0"/>
              </w:numPr>
              <w:ind w:leftChars="0"/>
              <w:jc w:val="left"/>
              <w:rPr>
                <w:rFonts w:hint="eastAsia" w:ascii="宋体" w:hAnsi="宋体" w:cs="宋体"/>
                <w:color w:val="auto"/>
                <w:kern w:val="0"/>
                <w:sz w:val="25"/>
                <w:szCs w:val="25"/>
                <w:lang w:val="en-US" w:eastAsia="zh-CN"/>
              </w:rPr>
            </w:pPr>
            <w:r>
              <w:rPr>
                <w:rFonts w:hint="eastAsia" w:ascii="宋体" w:hAnsi="宋体" w:cs="宋体"/>
                <w:color w:val="auto"/>
                <w:kern w:val="0"/>
                <w:sz w:val="25"/>
                <w:szCs w:val="25"/>
              </w:rPr>
              <w:t>无负偏离得</w:t>
            </w:r>
            <w:r>
              <w:rPr>
                <w:rFonts w:hint="eastAsia" w:ascii="宋体" w:hAnsi="宋体" w:cs="宋体"/>
                <w:color w:val="auto"/>
                <w:kern w:val="0"/>
                <w:sz w:val="25"/>
                <w:szCs w:val="25"/>
                <w:lang w:val="en-US" w:eastAsia="zh-CN"/>
              </w:rPr>
              <w:t>5</w:t>
            </w:r>
            <w:r>
              <w:rPr>
                <w:rFonts w:hint="eastAsia" w:ascii="宋体" w:hAnsi="宋体" w:cs="宋体"/>
                <w:color w:val="auto"/>
                <w:kern w:val="0"/>
                <w:sz w:val="25"/>
                <w:szCs w:val="25"/>
              </w:rPr>
              <w:t>分，技术指标每</w:t>
            </w:r>
            <w:r>
              <w:rPr>
                <w:rFonts w:hint="eastAsia" w:ascii="宋体" w:hAnsi="宋体" w:cs="宋体"/>
                <w:color w:val="auto"/>
                <w:kern w:val="0"/>
                <w:sz w:val="25"/>
                <w:szCs w:val="25"/>
                <w:lang w:eastAsia="zh-CN"/>
              </w:rPr>
              <w:t>负</w:t>
            </w:r>
            <w:r>
              <w:rPr>
                <w:rFonts w:hint="eastAsia" w:ascii="宋体" w:hAnsi="宋体" w:cs="宋体"/>
                <w:color w:val="auto"/>
                <w:kern w:val="0"/>
                <w:sz w:val="25"/>
                <w:szCs w:val="25"/>
              </w:rPr>
              <w:t>偏离一项扣减</w:t>
            </w:r>
            <w:r>
              <w:rPr>
                <w:rFonts w:hint="eastAsia" w:ascii="宋体" w:hAnsi="宋体" w:cs="宋体"/>
                <w:color w:val="auto"/>
                <w:kern w:val="0"/>
                <w:sz w:val="25"/>
                <w:szCs w:val="25"/>
                <w:lang w:val="en-US" w:eastAsia="zh-CN"/>
              </w:rPr>
              <w:t>1</w:t>
            </w:r>
            <w:r>
              <w:rPr>
                <w:rFonts w:hint="eastAsia" w:ascii="宋体" w:hAnsi="宋体" w:cs="宋体"/>
                <w:color w:val="auto"/>
                <w:kern w:val="0"/>
                <w:sz w:val="25"/>
                <w:szCs w:val="25"/>
              </w:rPr>
              <w:t>分，最多扣</w:t>
            </w:r>
            <w:r>
              <w:rPr>
                <w:rFonts w:hint="eastAsia" w:ascii="宋体" w:hAnsi="宋体" w:cs="宋体"/>
                <w:color w:val="auto"/>
                <w:kern w:val="0"/>
                <w:sz w:val="25"/>
                <w:szCs w:val="25"/>
                <w:lang w:val="en-US" w:eastAsia="zh-CN"/>
              </w:rPr>
              <w:t>5</w:t>
            </w:r>
            <w:r>
              <w:rPr>
                <w:rFonts w:hint="eastAsia" w:ascii="宋体" w:hAnsi="宋体" w:cs="宋体"/>
                <w:color w:val="auto"/>
                <w:kern w:val="0"/>
                <w:sz w:val="25"/>
                <w:szCs w:val="25"/>
              </w:rPr>
              <w:t>分</w:t>
            </w:r>
            <w:r>
              <w:rPr>
                <w:rFonts w:hint="eastAsia" w:ascii="宋体" w:hAnsi="宋体" w:cs="宋体"/>
                <w:color w:val="auto"/>
                <w:kern w:val="0"/>
                <w:sz w:val="25"/>
                <w:szCs w:val="25"/>
                <w:lang w:eastAsia="zh-CN"/>
              </w:rPr>
              <w:t>。（非功能性负偏离不扣分）</w:t>
            </w:r>
          </w:p>
        </w:tc>
      </w:tr>
      <w:tr>
        <w:tblPrEx>
          <w:tblCellMar>
            <w:top w:w="0" w:type="dxa"/>
            <w:left w:w="108" w:type="dxa"/>
            <w:bottom w:w="0" w:type="dxa"/>
            <w:right w:w="108" w:type="dxa"/>
          </w:tblCellMar>
        </w:tblPrEx>
        <w:trPr>
          <w:trHeight w:val="1612"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default" w:ascii="宋体" w:eastAsia="宋体" w:cs="宋体"/>
                <w:kern w:val="0"/>
                <w:sz w:val="25"/>
                <w:szCs w:val="25"/>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518"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kern w:val="0"/>
                <w:sz w:val="25"/>
                <w:szCs w:val="25"/>
                <w:lang w:eastAsia="zh-CN"/>
              </w:rPr>
            </w:pPr>
            <w:r>
              <w:rPr>
                <w:rFonts w:hint="eastAsia" w:ascii="宋体" w:hAnsi="宋体" w:cs="宋体"/>
                <w:kern w:val="0"/>
                <w:sz w:val="25"/>
                <w:szCs w:val="25"/>
                <w:lang w:eastAsia="zh-CN"/>
              </w:rPr>
              <w:t>质保期承诺</w:t>
            </w:r>
          </w:p>
        </w:tc>
        <w:tc>
          <w:tcPr>
            <w:tcW w:w="705"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20</w:t>
            </w:r>
          </w:p>
        </w:tc>
        <w:tc>
          <w:tcPr>
            <w:tcW w:w="6740"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整机</w:t>
            </w:r>
            <w:r>
              <w:rPr>
                <w:rFonts w:hint="eastAsia" w:ascii="宋体" w:hAnsi="宋体" w:cs="宋体"/>
                <w:kern w:val="0"/>
                <w:sz w:val="25"/>
                <w:szCs w:val="25"/>
                <w:lang w:eastAsia="zh-CN"/>
              </w:rPr>
              <w:t>质保期</w:t>
            </w:r>
            <w:r>
              <w:rPr>
                <w:rFonts w:hint="eastAsia" w:ascii="宋体" w:hAnsi="宋体" w:cs="宋体"/>
                <w:kern w:val="0"/>
                <w:sz w:val="25"/>
                <w:szCs w:val="25"/>
              </w:rPr>
              <w:t>承诺：本项最高20分。承诺</w:t>
            </w:r>
            <w:r>
              <w:rPr>
                <w:rFonts w:hint="eastAsia" w:ascii="宋体" w:hAnsi="宋体" w:cs="宋体"/>
                <w:kern w:val="0"/>
                <w:sz w:val="25"/>
                <w:szCs w:val="25"/>
                <w:lang w:eastAsia="zh-CN"/>
              </w:rPr>
              <w:t>质保期</w:t>
            </w:r>
            <w:r>
              <w:rPr>
                <w:rFonts w:hint="eastAsia" w:ascii="宋体" w:hAnsi="宋体" w:cs="宋体"/>
                <w:kern w:val="0"/>
                <w:sz w:val="25"/>
                <w:szCs w:val="25"/>
              </w:rPr>
              <w:t>1年得</w:t>
            </w:r>
            <w:r>
              <w:rPr>
                <w:rFonts w:hint="eastAsia" w:ascii="宋体" w:hAnsi="宋体" w:cs="宋体"/>
                <w:kern w:val="0"/>
                <w:sz w:val="25"/>
                <w:szCs w:val="25"/>
                <w:lang w:val="en-US" w:eastAsia="zh-CN"/>
              </w:rPr>
              <w:t>2</w:t>
            </w:r>
            <w:r>
              <w:rPr>
                <w:rFonts w:hint="eastAsia" w:ascii="宋体" w:hAnsi="宋体" w:cs="宋体"/>
                <w:kern w:val="0"/>
                <w:sz w:val="25"/>
                <w:szCs w:val="25"/>
              </w:rPr>
              <w:t>分，承诺</w:t>
            </w:r>
            <w:r>
              <w:rPr>
                <w:rFonts w:hint="eastAsia" w:ascii="宋体" w:hAnsi="宋体" w:cs="宋体"/>
                <w:kern w:val="0"/>
                <w:sz w:val="25"/>
                <w:szCs w:val="25"/>
                <w:lang w:eastAsia="zh-CN"/>
              </w:rPr>
              <w:t>质保期</w:t>
            </w:r>
            <w:r>
              <w:rPr>
                <w:rFonts w:hint="eastAsia" w:ascii="宋体" w:hAnsi="宋体" w:cs="宋体"/>
                <w:kern w:val="0"/>
                <w:sz w:val="25"/>
                <w:szCs w:val="25"/>
              </w:rPr>
              <w:t>2年得</w:t>
            </w:r>
            <w:r>
              <w:rPr>
                <w:rFonts w:hint="eastAsia" w:ascii="宋体" w:hAnsi="宋体" w:cs="宋体"/>
                <w:kern w:val="0"/>
                <w:sz w:val="25"/>
                <w:szCs w:val="25"/>
                <w:lang w:val="en-US" w:eastAsia="zh-CN"/>
              </w:rPr>
              <w:t>10</w:t>
            </w:r>
            <w:r>
              <w:rPr>
                <w:rFonts w:hint="eastAsia" w:ascii="宋体" w:hAnsi="宋体" w:cs="宋体"/>
                <w:kern w:val="0"/>
                <w:sz w:val="25"/>
                <w:szCs w:val="25"/>
              </w:rPr>
              <w:t>分，承诺</w:t>
            </w:r>
            <w:r>
              <w:rPr>
                <w:rFonts w:hint="eastAsia" w:ascii="宋体" w:hAnsi="宋体" w:cs="宋体"/>
                <w:kern w:val="0"/>
                <w:sz w:val="25"/>
                <w:szCs w:val="25"/>
                <w:lang w:eastAsia="zh-CN"/>
              </w:rPr>
              <w:t>质保期</w:t>
            </w:r>
            <w:r>
              <w:rPr>
                <w:rFonts w:hint="eastAsia" w:ascii="宋体" w:hAnsi="宋体" w:cs="宋体"/>
                <w:kern w:val="0"/>
                <w:sz w:val="25"/>
                <w:szCs w:val="25"/>
              </w:rPr>
              <w:t>3年得</w:t>
            </w:r>
            <w:r>
              <w:rPr>
                <w:rFonts w:hint="eastAsia" w:ascii="宋体" w:hAnsi="宋体" w:cs="宋体"/>
                <w:kern w:val="0"/>
                <w:sz w:val="25"/>
                <w:szCs w:val="25"/>
                <w:lang w:val="en-US" w:eastAsia="zh-CN"/>
              </w:rPr>
              <w:t>20</w:t>
            </w:r>
            <w:r>
              <w:rPr>
                <w:rFonts w:hint="eastAsia" w:ascii="宋体" w:hAnsi="宋体" w:cs="宋体"/>
                <w:kern w:val="0"/>
                <w:sz w:val="25"/>
                <w:szCs w:val="25"/>
              </w:rPr>
              <w:t>分</w:t>
            </w:r>
            <w:r>
              <w:rPr>
                <w:rFonts w:hint="eastAsia" w:ascii="宋体" w:hAnsi="宋体" w:cs="宋体"/>
                <w:kern w:val="0"/>
                <w:sz w:val="25"/>
                <w:szCs w:val="25"/>
                <w:lang w:eastAsia="zh-CN"/>
              </w:rPr>
              <w:t>。</w:t>
            </w:r>
          </w:p>
        </w:tc>
      </w:tr>
      <w:tr>
        <w:tblPrEx>
          <w:tblCellMar>
            <w:top w:w="0" w:type="dxa"/>
            <w:left w:w="108" w:type="dxa"/>
            <w:bottom w:w="0" w:type="dxa"/>
            <w:right w:w="108" w:type="dxa"/>
          </w:tblCellMar>
        </w:tblPrEx>
        <w:trPr>
          <w:trHeight w:val="1223"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default" w:ascii="宋体" w:hAnsi="Calibri" w:eastAsia="宋体" w:cs="宋体"/>
                <w:kern w:val="0"/>
                <w:sz w:val="25"/>
                <w:szCs w:val="25"/>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518"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cs="宋体"/>
                <w:kern w:val="0"/>
                <w:sz w:val="25"/>
                <w:szCs w:val="25"/>
                <w:lang w:val="en-US" w:eastAsia="zh-CN" w:bidi="ar-SA"/>
              </w:rPr>
              <w:t>售后响应</w:t>
            </w:r>
          </w:p>
        </w:tc>
        <w:tc>
          <w:tcPr>
            <w:tcW w:w="705"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default" w:ascii="宋体" w:hAnsi="Calibri" w:eastAsia="宋体" w:cs="宋体"/>
                <w:kern w:val="0"/>
                <w:sz w:val="25"/>
                <w:szCs w:val="25"/>
                <w:lang w:val="en-US" w:eastAsia="zh-CN" w:bidi="ar-SA"/>
              </w:rPr>
            </w:pPr>
            <w:r>
              <w:rPr>
                <w:rFonts w:hint="eastAsia" w:ascii="宋体" w:cs="宋体"/>
                <w:kern w:val="0"/>
                <w:sz w:val="25"/>
                <w:szCs w:val="25"/>
                <w:lang w:val="en-US" w:eastAsia="zh-CN" w:bidi="ar-SA"/>
              </w:rPr>
              <w:t>6</w:t>
            </w:r>
          </w:p>
        </w:tc>
        <w:tc>
          <w:tcPr>
            <w:tcW w:w="6740"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hint="eastAsia" w:ascii="宋体" w:hAnsi="Calibri" w:eastAsia="宋体" w:cs="宋体"/>
                <w:kern w:val="0"/>
                <w:sz w:val="25"/>
                <w:szCs w:val="25"/>
                <w:lang w:val="en-US" w:eastAsia="zh-CN" w:bidi="ar-SA"/>
              </w:rPr>
            </w:pPr>
            <w:r>
              <w:rPr>
                <w:rFonts w:hint="eastAsia" w:ascii="宋体" w:hAnsi="宋体" w:cs="宋体"/>
                <w:sz w:val="25"/>
                <w:szCs w:val="25"/>
              </w:rPr>
              <w:t>承诺维修人员</w:t>
            </w:r>
            <w:r>
              <w:rPr>
                <w:rFonts w:ascii="宋体" w:hAnsi="宋体" w:cs="宋体"/>
                <w:sz w:val="25"/>
                <w:szCs w:val="25"/>
              </w:rPr>
              <w:t>2</w:t>
            </w:r>
            <w:r>
              <w:rPr>
                <w:rFonts w:hint="eastAsia" w:ascii="宋体" w:hAnsi="宋体" w:cs="宋体"/>
                <w:sz w:val="25"/>
                <w:szCs w:val="25"/>
              </w:rPr>
              <w:t>小时响应得</w:t>
            </w:r>
            <w:r>
              <w:rPr>
                <w:rFonts w:hint="eastAsia" w:ascii="宋体" w:hAnsi="宋体" w:cs="宋体"/>
                <w:sz w:val="25"/>
                <w:szCs w:val="25"/>
                <w:lang w:val="en-US" w:eastAsia="zh-CN"/>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hint="eastAsia" w:ascii="宋体" w:hAnsi="宋体" w:cs="宋体"/>
                <w:sz w:val="25"/>
                <w:szCs w:val="25"/>
                <w:lang w:val="en-US" w:eastAsia="zh-CN"/>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小时修复得</w:t>
            </w:r>
            <w:r>
              <w:rPr>
                <w:rFonts w:hint="eastAsia" w:ascii="宋体" w:hAnsi="宋体" w:cs="宋体"/>
                <w:sz w:val="25"/>
                <w:szCs w:val="25"/>
                <w:lang w:val="en-US" w:eastAsia="zh-CN"/>
              </w:rPr>
              <w:t>3</w:t>
            </w:r>
            <w:r>
              <w:rPr>
                <w:rFonts w:hint="eastAsia" w:ascii="宋体" w:hAnsi="宋体" w:cs="宋体"/>
                <w:sz w:val="25"/>
                <w:szCs w:val="25"/>
              </w:rPr>
              <w:t>分。</w:t>
            </w:r>
          </w:p>
        </w:tc>
      </w:tr>
      <w:tr>
        <w:tblPrEx>
          <w:tblCellMar>
            <w:top w:w="0" w:type="dxa"/>
            <w:left w:w="108" w:type="dxa"/>
            <w:bottom w:w="0" w:type="dxa"/>
            <w:right w:w="108" w:type="dxa"/>
          </w:tblCellMar>
        </w:tblPrEx>
        <w:trPr>
          <w:trHeight w:val="1223"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eastAsia" w:ascii="宋体" w:hAnsi="Calibri" w:eastAsia="宋体" w:cs="宋体"/>
                <w:kern w:val="0"/>
                <w:sz w:val="25"/>
                <w:szCs w:val="25"/>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18"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color w:val="auto"/>
                <w:kern w:val="0"/>
                <w:sz w:val="25"/>
                <w:szCs w:val="25"/>
                <w:lang w:val="en-US" w:eastAsia="zh-CN" w:bidi="ar-SA"/>
              </w:rPr>
            </w:pPr>
            <w:r>
              <w:rPr>
                <w:rFonts w:hint="eastAsia" w:ascii="宋体" w:hAnsi="宋体" w:cs="宋体"/>
                <w:color w:val="auto"/>
                <w:kern w:val="0"/>
                <w:sz w:val="25"/>
                <w:szCs w:val="25"/>
                <w:lang w:eastAsia="zh-CN"/>
              </w:rPr>
              <w:t>业绩</w:t>
            </w:r>
          </w:p>
        </w:tc>
        <w:tc>
          <w:tcPr>
            <w:tcW w:w="705"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color w:val="auto"/>
                <w:kern w:val="0"/>
                <w:sz w:val="25"/>
                <w:szCs w:val="25"/>
                <w:lang w:val="en-US" w:eastAsia="zh-CN" w:bidi="ar-SA"/>
              </w:rPr>
            </w:pPr>
            <w:r>
              <w:rPr>
                <w:rFonts w:hint="eastAsia" w:ascii="宋体" w:cs="宋体"/>
                <w:color w:val="auto"/>
                <w:kern w:val="0"/>
                <w:sz w:val="25"/>
                <w:szCs w:val="25"/>
                <w:lang w:val="en-US" w:eastAsia="zh-CN"/>
              </w:rPr>
              <w:t>5</w:t>
            </w:r>
          </w:p>
        </w:tc>
        <w:tc>
          <w:tcPr>
            <w:tcW w:w="6740" w:type="dxa"/>
            <w:tcBorders>
              <w:top w:val="single" w:color="auto" w:sz="4" w:space="0"/>
              <w:left w:val="nil"/>
              <w:bottom w:val="single" w:color="auto" w:sz="4" w:space="0"/>
              <w:right w:val="single" w:color="auto" w:sz="4" w:space="0"/>
            </w:tcBorders>
            <w:vAlign w:val="center"/>
          </w:tcPr>
          <w:p>
            <w:pPr>
              <w:widowControl/>
              <w:numPr>
                <w:ilvl w:val="0"/>
                <w:numId w:val="0"/>
              </w:numPr>
              <w:ind w:left="0" w:leftChars="0" w:firstLine="0" w:firstLineChars="0"/>
              <w:jc w:val="left"/>
              <w:rPr>
                <w:rFonts w:hint="eastAsia" w:ascii="宋体" w:hAnsi="宋体" w:eastAsia="宋体" w:cs="宋体"/>
                <w:color w:val="auto"/>
                <w:kern w:val="0"/>
                <w:sz w:val="25"/>
                <w:szCs w:val="25"/>
                <w:lang w:val="en-US" w:eastAsia="zh-CN" w:bidi="ar-SA"/>
              </w:rPr>
            </w:pPr>
            <w:r>
              <w:rPr>
                <w:rFonts w:hint="eastAsia" w:ascii="宋体" w:hAnsi="宋体" w:cs="宋体"/>
                <w:color w:val="auto"/>
                <w:kern w:val="0"/>
                <w:sz w:val="25"/>
                <w:szCs w:val="25"/>
              </w:rPr>
              <w:t>201</w:t>
            </w:r>
            <w:r>
              <w:rPr>
                <w:rFonts w:hint="eastAsia" w:ascii="宋体" w:hAnsi="宋体" w:cs="宋体"/>
                <w:color w:val="auto"/>
                <w:kern w:val="0"/>
                <w:sz w:val="25"/>
                <w:szCs w:val="25"/>
                <w:lang w:val="en-US" w:eastAsia="zh-CN"/>
              </w:rPr>
              <w:t>9</w:t>
            </w:r>
            <w:r>
              <w:rPr>
                <w:rFonts w:hint="eastAsia" w:ascii="宋体" w:hAnsi="宋体" w:cs="宋体"/>
                <w:color w:val="auto"/>
                <w:kern w:val="0"/>
                <w:sz w:val="25"/>
                <w:szCs w:val="25"/>
              </w:rPr>
              <w:t>年</w:t>
            </w:r>
            <w:r>
              <w:rPr>
                <w:rFonts w:hint="eastAsia" w:ascii="宋体" w:hAnsi="宋体" w:cs="宋体"/>
                <w:color w:val="auto"/>
                <w:kern w:val="0"/>
                <w:sz w:val="25"/>
                <w:szCs w:val="25"/>
                <w:lang w:val="en-US" w:eastAsia="zh-CN"/>
              </w:rPr>
              <w:t>10</w:t>
            </w:r>
            <w:r>
              <w:rPr>
                <w:rFonts w:hint="eastAsia" w:ascii="宋体" w:hAnsi="宋体" w:cs="宋体"/>
                <w:color w:val="auto"/>
                <w:kern w:val="0"/>
                <w:sz w:val="25"/>
                <w:szCs w:val="25"/>
              </w:rPr>
              <w:t>月1日以来出售</w:t>
            </w:r>
            <w:r>
              <w:rPr>
                <w:rFonts w:hint="eastAsia" w:ascii="宋体" w:hAnsi="宋体" w:cs="宋体"/>
                <w:color w:val="auto"/>
                <w:kern w:val="0"/>
                <w:sz w:val="25"/>
                <w:szCs w:val="25"/>
                <w:lang w:eastAsia="zh-CN"/>
              </w:rPr>
              <w:t>投标同类型设备</w:t>
            </w:r>
            <w:r>
              <w:rPr>
                <w:rFonts w:hint="eastAsia" w:ascii="宋体" w:hAnsi="宋体" w:cs="宋体"/>
                <w:color w:val="auto"/>
                <w:kern w:val="0"/>
                <w:sz w:val="25"/>
                <w:szCs w:val="25"/>
              </w:rPr>
              <w:t>业绩</w:t>
            </w:r>
            <w:r>
              <w:rPr>
                <w:rFonts w:hint="eastAsia" w:ascii="宋体" w:hAnsi="宋体" w:cs="宋体"/>
                <w:color w:val="auto"/>
                <w:kern w:val="0"/>
                <w:sz w:val="25"/>
                <w:szCs w:val="25"/>
                <w:lang w:eastAsia="zh-CN"/>
              </w:rPr>
              <w:t>。提供</w:t>
            </w:r>
            <w:r>
              <w:rPr>
                <w:rFonts w:hint="eastAsia" w:ascii="宋体" w:hAnsi="宋体" w:eastAsia="宋体" w:cs="宋体"/>
                <w:color w:val="auto"/>
                <w:kern w:val="0"/>
                <w:sz w:val="25"/>
                <w:szCs w:val="25"/>
              </w:rPr>
              <w:t>一份得</w:t>
            </w:r>
            <w:r>
              <w:rPr>
                <w:rFonts w:hint="eastAsia" w:ascii="宋体" w:hAnsi="宋体" w:cs="宋体"/>
                <w:color w:val="auto"/>
                <w:kern w:val="0"/>
                <w:sz w:val="25"/>
                <w:szCs w:val="25"/>
                <w:lang w:val="en-US" w:eastAsia="zh-CN"/>
              </w:rPr>
              <w:t>3</w:t>
            </w:r>
            <w:r>
              <w:rPr>
                <w:rFonts w:hint="eastAsia" w:ascii="宋体" w:hAnsi="宋体" w:eastAsia="宋体" w:cs="宋体"/>
                <w:color w:val="auto"/>
                <w:kern w:val="0"/>
                <w:sz w:val="25"/>
                <w:szCs w:val="25"/>
              </w:rPr>
              <w:t>分，</w:t>
            </w:r>
            <w:r>
              <w:rPr>
                <w:rFonts w:hint="eastAsia" w:ascii="宋体" w:hAnsi="宋体" w:cs="宋体"/>
                <w:color w:val="auto"/>
                <w:kern w:val="0"/>
                <w:sz w:val="25"/>
                <w:szCs w:val="25"/>
                <w:lang w:eastAsia="zh-CN"/>
              </w:rPr>
              <w:t>每多一份加</w:t>
            </w:r>
            <w:r>
              <w:rPr>
                <w:rFonts w:hint="eastAsia" w:ascii="宋体" w:hAnsi="宋体" w:cs="宋体"/>
                <w:color w:val="auto"/>
                <w:kern w:val="0"/>
                <w:sz w:val="25"/>
                <w:szCs w:val="25"/>
                <w:lang w:val="en-US" w:eastAsia="zh-CN"/>
              </w:rPr>
              <w:t>1分，</w:t>
            </w:r>
            <w:r>
              <w:rPr>
                <w:rFonts w:hint="eastAsia" w:ascii="宋体" w:hAnsi="宋体" w:eastAsia="宋体" w:cs="宋体"/>
                <w:color w:val="auto"/>
                <w:kern w:val="0"/>
                <w:sz w:val="25"/>
                <w:szCs w:val="25"/>
              </w:rPr>
              <w:t>最高</w:t>
            </w:r>
            <w:r>
              <w:rPr>
                <w:rFonts w:hint="eastAsia" w:ascii="宋体" w:hAnsi="宋体" w:cs="宋体"/>
                <w:color w:val="auto"/>
                <w:kern w:val="0"/>
                <w:sz w:val="25"/>
                <w:szCs w:val="25"/>
                <w:lang w:eastAsia="zh-CN"/>
              </w:rPr>
              <w:t>得</w:t>
            </w:r>
            <w:r>
              <w:rPr>
                <w:rFonts w:hint="eastAsia" w:ascii="宋体" w:hAnsi="宋体" w:cs="宋体"/>
                <w:color w:val="auto"/>
                <w:kern w:val="0"/>
                <w:sz w:val="25"/>
                <w:szCs w:val="25"/>
                <w:lang w:val="en-US" w:eastAsia="zh-CN"/>
              </w:rPr>
              <w:t>5</w:t>
            </w:r>
            <w:r>
              <w:rPr>
                <w:rFonts w:hint="eastAsia" w:ascii="宋体" w:hAnsi="宋体" w:eastAsia="宋体" w:cs="宋体"/>
                <w:color w:val="auto"/>
                <w:kern w:val="0"/>
                <w:sz w:val="25"/>
                <w:szCs w:val="25"/>
              </w:rPr>
              <w:t>分。</w:t>
            </w:r>
          </w:p>
        </w:tc>
      </w:tr>
      <w:tr>
        <w:tblPrEx>
          <w:tblCellMar>
            <w:top w:w="0" w:type="dxa"/>
            <w:left w:w="108" w:type="dxa"/>
            <w:bottom w:w="0" w:type="dxa"/>
            <w:right w:w="108" w:type="dxa"/>
          </w:tblCellMar>
        </w:tblPrEx>
        <w:trPr>
          <w:trHeight w:val="772" w:hRule="atLeast"/>
        </w:trPr>
        <w:tc>
          <w:tcPr>
            <w:tcW w:w="7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default" w:ascii="宋体" w:eastAsia="宋体" w:cs="宋体"/>
                <w:kern w:val="0"/>
                <w:sz w:val="25"/>
                <w:szCs w:val="25"/>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518"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培训</w:t>
            </w:r>
          </w:p>
        </w:tc>
        <w:tc>
          <w:tcPr>
            <w:tcW w:w="705" w:type="dxa"/>
            <w:tcBorders>
              <w:top w:val="nil"/>
              <w:left w:val="nil"/>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4</w:t>
            </w:r>
          </w:p>
        </w:tc>
        <w:tc>
          <w:tcPr>
            <w:tcW w:w="674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现场对医师培训得</w:t>
            </w:r>
            <w:r>
              <w:rPr>
                <w:rFonts w:hint="eastAsia" w:ascii="宋体" w:hAnsi="宋体" w:cs="宋体"/>
                <w:kern w:val="0"/>
                <w:sz w:val="25"/>
                <w:szCs w:val="25"/>
                <w:lang w:val="en-US" w:eastAsia="zh-CN"/>
              </w:rPr>
              <w:t>4</w:t>
            </w:r>
            <w:r>
              <w:rPr>
                <w:rFonts w:hint="eastAsia" w:ascii="宋体" w:hAnsi="宋体" w:cs="宋体"/>
                <w:kern w:val="0"/>
                <w:sz w:val="25"/>
                <w:szCs w:val="25"/>
              </w:rPr>
              <w:t>分，无培训得</w:t>
            </w:r>
            <w:r>
              <w:rPr>
                <w:rFonts w:ascii="宋体" w:hAnsi="宋体" w:cs="宋体"/>
                <w:kern w:val="0"/>
                <w:sz w:val="25"/>
                <w:szCs w:val="25"/>
              </w:rPr>
              <w:t>0</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528" w:hRule="atLeast"/>
        </w:trPr>
        <w:tc>
          <w:tcPr>
            <w:tcW w:w="7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hint="default" w:ascii="宋体" w:eastAsia="宋体" w:cs="宋体"/>
                <w:kern w:val="0"/>
                <w:sz w:val="25"/>
                <w:szCs w:val="25"/>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518"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合计</w:t>
            </w:r>
          </w:p>
        </w:tc>
        <w:tc>
          <w:tcPr>
            <w:tcW w:w="705"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100</w:t>
            </w:r>
          </w:p>
        </w:tc>
        <w:tc>
          <w:tcPr>
            <w:tcW w:w="674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　</w:t>
            </w:r>
          </w:p>
        </w:tc>
      </w:tr>
    </w:tbl>
    <w:p>
      <w:pPr>
        <w:keepNext w:val="0"/>
        <w:keepLines w:val="0"/>
        <w:pageBreakBefore w:val="0"/>
        <w:numPr>
          <w:ilvl w:val="0"/>
          <w:numId w:val="0"/>
        </w:numPr>
        <w:kinsoku/>
        <w:wordWrap/>
        <w:overflowPunct/>
        <w:topLinePunct w:val="0"/>
        <w:bidi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w:t>
      </w:r>
      <w:r>
        <w:rPr>
          <w:rFonts w:hint="eastAsia" w:asciiTheme="minorEastAsia" w:hAnsiTheme="minorEastAsia" w:eastAsiaTheme="minorEastAsia" w:cstheme="minorEastAsia"/>
          <w:sz w:val="28"/>
          <w:szCs w:val="28"/>
          <w:lang w:eastAsia="zh-CN"/>
        </w:rPr>
        <w:t>由招标人</w:t>
      </w:r>
      <w:r>
        <w:rPr>
          <w:rFonts w:hint="eastAsia" w:asciiTheme="minorEastAsia" w:hAnsiTheme="minorEastAsia" w:eastAsiaTheme="minorEastAsia" w:cstheme="minorEastAsia"/>
          <w:sz w:val="28"/>
          <w:szCs w:val="28"/>
        </w:rPr>
        <w:t>确定中标单位，公示</w:t>
      </w:r>
      <w:r>
        <w:rPr>
          <w:rFonts w:hint="eastAsia" w:asciiTheme="minorEastAsia" w:hAnsiTheme="minorEastAsia" w:eastAsiaTheme="minorEastAsia" w:cstheme="minorEastAsia"/>
          <w:sz w:val="28"/>
          <w:szCs w:val="28"/>
          <w:lang w:eastAsia="zh-CN"/>
        </w:rPr>
        <w:t>结</w:t>
      </w:r>
    </w:p>
    <w:p>
      <w:pPr>
        <w:snapToGrid w:val="0"/>
        <w:spacing w:line="360" w:lineRule="auto"/>
        <w:jc w:val="left"/>
        <w:rPr>
          <w:rFonts w:hint="eastAsia"/>
        </w:rPr>
      </w:pPr>
      <w:r>
        <w:rPr>
          <w:rFonts w:hint="eastAsia" w:asciiTheme="minorEastAsia" w:hAnsiTheme="minorEastAsia" w:eastAsiaTheme="minorEastAsia" w:cstheme="minorEastAsia"/>
          <w:sz w:val="28"/>
          <w:szCs w:val="28"/>
          <w:lang w:eastAsia="zh-CN"/>
        </w:rPr>
        <w:t>束</w:t>
      </w:r>
      <w:r>
        <w:rPr>
          <w:rFonts w:hint="eastAsia" w:asciiTheme="minorEastAsia" w:hAnsiTheme="minorEastAsia" w:eastAsiaTheme="minorEastAsia" w:cstheme="minorEastAsia"/>
          <w:sz w:val="28"/>
          <w:szCs w:val="28"/>
        </w:rPr>
        <w:t>后发出中标通知书。</w:t>
      </w:r>
    </w:p>
    <w:p>
      <w:pPr>
        <w:pStyle w:val="2"/>
        <w:rPr>
          <w:rFonts w:hint="eastAsia"/>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相王医药麻醉机呼吸机内部回路消毒机采购询价文件</w:t>
      </w:r>
      <w:r>
        <w:rPr>
          <w:rFonts w:hint="eastAsia" w:asciiTheme="minorEastAsia" w:hAnsiTheme="minorEastAsia" w:eastAsiaTheme="minorEastAsia" w:cstheme="minorEastAsia"/>
          <w:sz w:val="28"/>
          <w:szCs w:val="28"/>
        </w:rPr>
        <w:t>”，并熟知招标文件的各项规定，我方同意按招标文件规定的全部条件投标。投标报价如下：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元（价款大写）</w:t>
      </w:r>
    </w:p>
    <w:p>
      <w:pPr>
        <w:keepNext w:val="0"/>
        <w:keepLines w:val="0"/>
        <w:pageBreakBefore w:val="0"/>
        <w:kinsoku/>
        <w:wordWrap/>
        <w:overflowPunct/>
        <w:topLinePunct w:val="0"/>
        <w:bidi w:val="0"/>
        <w:snapToGrid w:val="0"/>
        <w:spacing w:beforeAutospacing="0" w:afterAutospacing="0" w:line="360" w:lineRule="auto"/>
        <w:ind w:left="1662" w:leftChars="266" w:hanging="1103" w:hangingChars="3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天（指供应货物全部运至指定交</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货地点的时间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锁有限公司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安徽省淮北市相山北路3号</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15个工作</w:t>
      </w:r>
      <w:r>
        <w:rPr>
          <w:rFonts w:hint="eastAsia" w:asciiTheme="minorEastAsia" w:hAnsiTheme="minorEastAsia" w:eastAsiaTheme="minorEastAsia" w:cstheme="minorEastAsia"/>
          <w:sz w:val="28"/>
          <w:szCs w:val="28"/>
        </w:rPr>
        <w:t>日内与贵方签订供货合同。如逾期不派代表签约。贵单位有权</w:t>
      </w:r>
      <w:r>
        <w:rPr>
          <w:rFonts w:hint="eastAsia" w:asciiTheme="minorEastAsia" w:hAnsiTheme="minorEastAsia" w:eastAsiaTheme="minorEastAsia" w:cstheme="minorEastAsia"/>
          <w:sz w:val="28"/>
          <w:szCs w:val="28"/>
          <w:lang w:eastAsia="zh-CN"/>
        </w:rPr>
        <w:t>不予退还</w:t>
      </w:r>
      <w:r>
        <w:rPr>
          <w:rFonts w:hint="eastAsia" w:asciiTheme="minorEastAsia" w:hAnsiTheme="minorEastAsia" w:eastAsiaTheme="minorEastAsia" w:cstheme="minorEastAsia"/>
          <w:sz w:val="28"/>
          <w:szCs w:val="28"/>
        </w:rPr>
        <w:t>投标保证金，并视为我方自动放弃中标资格。</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asciiTheme="minorEastAsia" w:hAnsiTheme="minorEastAsia" w:eastAsiaTheme="minorEastAsia" w:cstheme="minorEastAsia"/>
          <w:sz w:val="28"/>
          <w:szCs w:val="28"/>
        </w:rPr>
        <w:t>将构成约束贵我双方的协议。</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宋体" w:hAnsi="宋体"/>
          <w:sz w:val="28"/>
          <w:szCs w:val="28"/>
        </w:rPr>
      </w:pPr>
      <w:r>
        <w:rPr>
          <w:rFonts w:hint="eastAsia" w:asciiTheme="minorEastAsia" w:hAnsiTheme="minorEastAsia" w:eastAsiaTheme="minorEastAsia" w:cstheme="minorEastAsia"/>
          <w:sz w:val="28"/>
          <w:szCs w:val="28"/>
        </w:rPr>
        <w:t>投标人公章</w:t>
      </w:r>
      <w:r>
        <w:rPr>
          <w:rFonts w:hint="eastAsia" w:asciiTheme="minorEastAsia" w:hAnsiTheme="minorEastAsia" w:eastAsiaTheme="minorEastAsia" w:cstheme="minorEastAsia"/>
          <w:sz w:val="28"/>
          <w:szCs w:val="28"/>
          <w:lang w:eastAsia="zh-CN"/>
        </w:rPr>
        <w:t>：</w:t>
      </w:r>
    </w:p>
    <w:p>
      <w:pPr>
        <w:pStyle w:val="3"/>
        <w:spacing w:line="500" w:lineRule="exact"/>
        <w:ind w:left="0"/>
        <w:jc w:val="left"/>
        <w:rPr>
          <w:rFonts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3"/>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p>
    <w:p>
      <w:pPr>
        <w:pStyle w:val="3"/>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3"/>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hint="eastAsia" w:asciiTheme="minorEastAsia" w:hAnsiTheme="minorEastAsia" w:eastAsiaTheme="minorEastAsia" w:cstheme="minorEastAsia"/>
          <w:b/>
          <w:bCs/>
          <w:sz w:val="28"/>
          <w:szCs w:val="28"/>
          <w:lang w:eastAsia="zh-CN"/>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投标设备报价汇总表</w:t>
      </w:r>
    </w:p>
    <w:tbl>
      <w:tblPr>
        <w:tblStyle w:val="11"/>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7" w:firstLineChars="49"/>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2、本表“合计金额”须与“投标报价函”中对应包的“投标报价”相同。</w:t>
      </w:r>
    </w:p>
    <w:p>
      <w:pPr>
        <w:pStyle w:val="14"/>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3、本项和以下各项的“设备名称”要按照“第</w:t>
      </w: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val="0"/>
          <w:bCs w:val="0"/>
          <w:sz w:val="28"/>
          <w:szCs w:val="28"/>
        </w:rPr>
        <w:t>部分，设备采购内容及技术要求。</w:t>
      </w:r>
      <w:r>
        <w:rPr>
          <w:rFonts w:hint="eastAsia" w:asciiTheme="minorEastAsia" w:hAnsiTheme="minorEastAsia" w:eastAsiaTheme="minorEastAsia" w:cstheme="minorEastAsia"/>
          <w:b w:val="0"/>
          <w:bCs w:val="0"/>
          <w:sz w:val="28"/>
          <w:szCs w:val="28"/>
          <w:lang w:eastAsia="zh-CN"/>
        </w:rPr>
        <w:t>设备</w:t>
      </w:r>
      <w:r>
        <w:rPr>
          <w:rFonts w:hint="eastAsia" w:asciiTheme="minorEastAsia" w:hAnsiTheme="minorEastAsia" w:eastAsiaTheme="minorEastAsia" w:cstheme="minorEastAsia"/>
          <w:b w:val="0"/>
          <w:bCs w:val="0"/>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投标设备备品、备件及专用工具清单</w:t>
      </w:r>
    </w:p>
    <w:tbl>
      <w:tblPr>
        <w:tblStyle w:val="11"/>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val="0"/>
          <w:bCs w:val="0"/>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投标报价中不包含的易损件报价表</w:t>
      </w:r>
    </w:p>
    <w:tbl>
      <w:tblPr>
        <w:tblStyle w:val="11"/>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adjustRightInd w:val="0"/>
        <w:snapToGrid w:val="0"/>
        <w:spacing w:line="288" w:lineRule="auto"/>
        <w:ind w:left="0" w:leftChars="0" w:firstLine="0" w:firstLineChars="0"/>
        <w:jc w:val="left"/>
        <w:rPr>
          <w:rFonts w:ascii="Calibri" w:hAnsi="Calibri"/>
          <w:b/>
          <w:bCs/>
          <w:sz w:val="24"/>
          <w:u w:val="single"/>
        </w:rPr>
      </w:pPr>
      <w:r>
        <w:rPr>
          <w:rFonts w:hint="eastAsia" w:ascii="Calibri" w:hAnsi="Calibri"/>
          <w:b/>
          <w:bCs/>
          <w:sz w:val="28"/>
        </w:rPr>
        <w:t>附件（</w:t>
      </w:r>
      <w:r>
        <w:rPr>
          <w:rFonts w:hint="eastAsia"/>
          <w:b/>
          <w:bCs/>
          <w:sz w:val="28"/>
          <w:lang w:eastAsia="zh-CN"/>
        </w:rPr>
        <w:t>五</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pStyle w:val="3"/>
        <w:spacing w:before="63" w:beforeLines="20" w:after="63" w:afterLines="20" w:line="500" w:lineRule="exact"/>
        <w:ind w:firstLine="280" w:firstLineChars="100"/>
        <w:rPr>
          <w:rFonts w:ascii="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hint="eastAsia"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jc w:val="right"/>
        <w:rPr>
          <w:rFonts w:hint="eastAsia" w:ascii="宋体" w:hAnsi="宋体"/>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六</w:t>
      </w:r>
      <w:r>
        <w:rPr>
          <w:rFonts w:hint="eastAsia" w:asciiTheme="minorEastAsia" w:hAnsiTheme="minorEastAsia" w:cstheme="minorEastAsia"/>
          <w:b/>
          <w:bCs/>
          <w:sz w:val="28"/>
          <w:szCs w:val="28"/>
        </w:rPr>
        <w:t>）</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淮北市相王医药连锁有限公司</w:t>
      </w:r>
    </w:p>
    <w:p>
      <w:pPr>
        <w:pStyle w:val="7"/>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w:t>
      </w:r>
      <w:r>
        <w:rPr>
          <w:rFonts w:hint="eastAsia" w:ascii="宋体" w:hAnsi="宋体" w:cs="宋体"/>
          <w:sz w:val="24"/>
          <w:lang w:eastAsia="zh-CN"/>
        </w:rPr>
        <w:t>产</w:t>
      </w:r>
      <w:r>
        <w:rPr>
          <w:rFonts w:hint="eastAsia" w:ascii="宋体" w:hAnsi="宋体" w:cs="宋体"/>
          <w:sz w:val="24"/>
        </w:rPr>
        <w:t>品配送，以本公司的名义签署投标书，进行谈判、签署合同和处理与之有关的一切事宜。</w:t>
      </w:r>
    </w:p>
    <w:p>
      <w:pPr>
        <w:pStyle w:val="3"/>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1"/>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1"/>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5"/>
        <w:tabs>
          <w:tab w:val="left" w:pos="720"/>
        </w:tabs>
        <w:adjustRightInd w:val="0"/>
        <w:snapToGrid w:val="0"/>
        <w:spacing w:before="63" w:beforeLines="20" w:after="63" w:afterLines="20" w:line="540" w:lineRule="exact"/>
        <w:jc w:val="center"/>
        <w:rPr>
          <w:rFonts w:hint="eastAsia" w:eastAsia="宋体"/>
          <w:b w:val="0"/>
          <w:bCs/>
          <w:lang w:eastAsia="zh-CN"/>
        </w:rPr>
        <w:sectPr>
          <w:footerReference r:id="rId6" w:type="first"/>
          <w:footerReference r:id="rId5" w:type="default"/>
          <w:pgSz w:w="11906" w:h="16838"/>
          <w:pgMar w:top="1440" w:right="1803" w:bottom="1440" w:left="1803" w:header="851" w:footer="992" w:gutter="0"/>
          <w:cols w:space="720" w:num="1"/>
          <w:titlePg/>
          <w:docGrid w:type="lines" w:linePitch="315" w:charSpace="0"/>
        </w:sectPr>
      </w:pPr>
      <w:r>
        <w:rPr>
          <w:rFonts w:hint="eastAsia" w:ascii="宋体" w:hAnsi="宋体" w:cs="宋体"/>
          <w:sz w:val="24"/>
          <w:szCs w:val="24"/>
          <w:lang w:val="en-US" w:eastAsia="zh-CN"/>
        </w:rPr>
        <w:t xml:space="preserve">                                  </w:t>
      </w:r>
      <w:r>
        <w:rPr>
          <w:rFonts w:hint="eastAsia" w:ascii="宋体" w:hAnsi="宋体" w:cs="宋体"/>
          <w:b w:val="0"/>
          <w:bCs/>
          <w:sz w:val="24"/>
          <w:szCs w:val="24"/>
        </w:rPr>
        <w:t>授权委托日期：</w:t>
      </w:r>
      <w:r>
        <w:rPr>
          <w:rFonts w:ascii="宋体" w:hAnsi="宋体" w:cs="宋体"/>
          <w:b w:val="0"/>
          <w:bCs/>
          <w:sz w:val="24"/>
          <w:szCs w:val="24"/>
          <w:u w:val="single"/>
        </w:rPr>
        <w:t xml:space="preserve">     </w:t>
      </w:r>
      <w:r>
        <w:rPr>
          <w:rFonts w:hint="eastAsia" w:ascii="宋体" w:hAnsi="宋体" w:cs="宋体"/>
          <w:b w:val="0"/>
          <w:bCs/>
          <w:sz w:val="24"/>
          <w:szCs w:val="24"/>
        </w:rPr>
        <w:t>年</w:t>
      </w:r>
      <w:r>
        <w:rPr>
          <w:rFonts w:ascii="宋体" w:hAnsi="宋体" w:cs="宋体"/>
          <w:b w:val="0"/>
          <w:bCs/>
          <w:sz w:val="24"/>
          <w:szCs w:val="24"/>
        </w:rPr>
        <w:t xml:space="preserve"> </w:t>
      </w:r>
      <w:r>
        <w:rPr>
          <w:rFonts w:ascii="宋体" w:hAnsi="宋体" w:cs="宋体"/>
          <w:b w:val="0"/>
          <w:bCs/>
          <w:sz w:val="24"/>
          <w:szCs w:val="24"/>
          <w:u w:val="single"/>
        </w:rPr>
        <w:t xml:space="preserve">    </w:t>
      </w:r>
      <w:r>
        <w:rPr>
          <w:rFonts w:hint="eastAsia" w:ascii="宋体" w:hAnsi="宋体" w:cs="宋体"/>
          <w:b w:val="0"/>
          <w:bCs/>
          <w:sz w:val="24"/>
          <w:szCs w:val="24"/>
        </w:rPr>
        <w:t>月</w:t>
      </w:r>
      <w:r>
        <w:rPr>
          <w:rFonts w:ascii="宋体" w:hAnsi="宋体" w:cs="宋体"/>
          <w:b w:val="0"/>
          <w:bCs/>
          <w:sz w:val="24"/>
          <w:szCs w:val="24"/>
          <w:u w:val="single"/>
        </w:rPr>
        <w:t xml:space="preserve">     </w:t>
      </w:r>
      <w:r>
        <w:rPr>
          <w:rFonts w:hint="eastAsia" w:ascii="宋体" w:hAnsi="宋体" w:cs="宋体"/>
          <w:b w:val="0"/>
          <w:bCs/>
          <w:sz w:val="24"/>
          <w:szCs w:val="24"/>
          <w:u w:val="single"/>
          <w:lang w:eastAsia="zh-CN"/>
        </w:rPr>
        <w:t>日</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投标设备技术偏离表</w:t>
      </w:r>
    </w:p>
    <w:tbl>
      <w:tblPr>
        <w:tblStyle w:val="11"/>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附件（八）</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新</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的零部件。</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1459"/>
      </w:pPr>
      <w:r>
        <w:separator/>
      </w:r>
    </w:p>
  </w:endnote>
  <w:endnote w:type="continuationSeparator" w:id="1">
    <w:p>
      <w:pPr>
        <w:ind w:hanging="145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1459"/>
      </w:pPr>
      <w:r>
        <w:separator/>
      </w:r>
    </w:p>
  </w:footnote>
  <w:footnote w:type="continuationSeparator" w:id="1">
    <w:p>
      <w:pPr>
        <w:ind w:hanging="145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66469"/>
    <w:multiLevelType w:val="singleLevel"/>
    <w:tmpl w:val="DD066469"/>
    <w:lvl w:ilvl="0" w:tentative="0">
      <w:start w:val="1"/>
      <w:numFmt w:val="chineseCounting"/>
      <w:suff w:val="nothing"/>
      <w:lvlText w:val="%1、"/>
      <w:lvlJc w:val="left"/>
      <w:rPr>
        <w:rFonts w:hint="eastAsia"/>
      </w:rPr>
    </w:lvl>
  </w:abstractNum>
  <w:abstractNum w:abstractNumId="1">
    <w:nsid w:val="E7C4C98C"/>
    <w:multiLevelType w:val="singleLevel"/>
    <w:tmpl w:val="E7C4C98C"/>
    <w:lvl w:ilvl="0" w:tentative="0">
      <w:start w:val="2"/>
      <w:numFmt w:val="chineseCounting"/>
      <w:suff w:val="nothing"/>
      <w:lvlText w:val="（%1）"/>
      <w:lvlJc w:val="left"/>
      <w:rPr>
        <w:rFonts w:hint="eastAsia"/>
      </w:rPr>
    </w:lvl>
  </w:abstractNum>
  <w:abstractNum w:abstractNumId="2">
    <w:nsid w:val="2BD70A81"/>
    <w:multiLevelType w:val="singleLevel"/>
    <w:tmpl w:val="2BD70A81"/>
    <w:lvl w:ilvl="0" w:tentative="0">
      <w:start w:val="1"/>
      <w:numFmt w:val="chineseCounting"/>
      <w:suff w:val="nothing"/>
      <w:lvlText w:val="%1、"/>
      <w:lvlJc w:val="left"/>
      <w:rPr>
        <w:rFonts w:hint="eastAsia"/>
      </w:rPr>
    </w:lvl>
  </w:abstractNum>
  <w:abstractNum w:abstractNumId="3">
    <w:nsid w:val="3C3CCC3C"/>
    <w:multiLevelType w:val="singleLevel"/>
    <w:tmpl w:val="3C3CCC3C"/>
    <w:lvl w:ilvl="0" w:tentative="0">
      <w:start w:val="3"/>
      <w:numFmt w:val="chineseCounting"/>
      <w:suff w:val="nothing"/>
      <w:lvlText w:val="（%1）"/>
      <w:lvlJc w:val="left"/>
      <w:rPr>
        <w:rFonts w:hint="eastAsia"/>
      </w:rPr>
    </w:lvl>
  </w:abstractNum>
  <w:abstractNum w:abstractNumId="4">
    <w:nsid w:val="3D818A83"/>
    <w:multiLevelType w:val="singleLevel"/>
    <w:tmpl w:val="3D818A83"/>
    <w:lvl w:ilvl="0" w:tentative="0">
      <w:start w:val="2"/>
      <w:numFmt w:val="chineseCounting"/>
      <w:suff w:val="nothing"/>
      <w:lvlText w:val="（%1）"/>
      <w:lvlJc w:val="left"/>
      <w:rPr>
        <w:rFonts w:hint="eastAsia"/>
      </w:rPr>
    </w:lvl>
  </w:abstractNum>
  <w:abstractNum w:abstractNumId="5">
    <w:nsid w:val="7602B9A9"/>
    <w:multiLevelType w:val="singleLevel"/>
    <w:tmpl w:val="7602B9A9"/>
    <w:lvl w:ilvl="0" w:tentative="0">
      <w:start w:val="2"/>
      <w:numFmt w:val="chineseCounting"/>
      <w:suff w:val="nothing"/>
      <w:lvlText w:val="（%1）"/>
      <w:lvlJc w:val="left"/>
      <w:rPr>
        <w:rFonts w:hint="eastAsia"/>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D30B4"/>
    <w:rsid w:val="002F0BBC"/>
    <w:rsid w:val="00BF5D47"/>
    <w:rsid w:val="026C0F25"/>
    <w:rsid w:val="0351125F"/>
    <w:rsid w:val="03727D93"/>
    <w:rsid w:val="03F6451C"/>
    <w:rsid w:val="04750299"/>
    <w:rsid w:val="057E61A9"/>
    <w:rsid w:val="083161A0"/>
    <w:rsid w:val="08B91736"/>
    <w:rsid w:val="0C1769DD"/>
    <w:rsid w:val="0F154295"/>
    <w:rsid w:val="10E07F51"/>
    <w:rsid w:val="11547015"/>
    <w:rsid w:val="13286A18"/>
    <w:rsid w:val="142E6C6A"/>
    <w:rsid w:val="15024041"/>
    <w:rsid w:val="16A44DAE"/>
    <w:rsid w:val="181C36D6"/>
    <w:rsid w:val="18432F1C"/>
    <w:rsid w:val="18594C60"/>
    <w:rsid w:val="1A547EC7"/>
    <w:rsid w:val="21CF7722"/>
    <w:rsid w:val="227D5DFF"/>
    <w:rsid w:val="22B14AB7"/>
    <w:rsid w:val="23132113"/>
    <w:rsid w:val="231C7211"/>
    <w:rsid w:val="24707F82"/>
    <w:rsid w:val="254B5DD5"/>
    <w:rsid w:val="266072EE"/>
    <w:rsid w:val="27CF7D2B"/>
    <w:rsid w:val="2B8070C8"/>
    <w:rsid w:val="2BA63407"/>
    <w:rsid w:val="2D7D25F5"/>
    <w:rsid w:val="2D8C0A95"/>
    <w:rsid w:val="2E8B791D"/>
    <w:rsid w:val="2EC800EA"/>
    <w:rsid w:val="2FB70235"/>
    <w:rsid w:val="32323E22"/>
    <w:rsid w:val="3284403A"/>
    <w:rsid w:val="33660B38"/>
    <w:rsid w:val="34A455FE"/>
    <w:rsid w:val="35835D75"/>
    <w:rsid w:val="3856592B"/>
    <w:rsid w:val="38E63051"/>
    <w:rsid w:val="3A627B2F"/>
    <w:rsid w:val="3C2152D4"/>
    <w:rsid w:val="3D4163C3"/>
    <w:rsid w:val="3DF27F6D"/>
    <w:rsid w:val="3E3D3E8F"/>
    <w:rsid w:val="3F3A45BE"/>
    <w:rsid w:val="40D361F2"/>
    <w:rsid w:val="41FC645F"/>
    <w:rsid w:val="46075F25"/>
    <w:rsid w:val="49FB338B"/>
    <w:rsid w:val="4AA001D9"/>
    <w:rsid w:val="4BB014F6"/>
    <w:rsid w:val="4C874F51"/>
    <w:rsid w:val="52A04FAA"/>
    <w:rsid w:val="56257A2F"/>
    <w:rsid w:val="57467331"/>
    <w:rsid w:val="58A211A7"/>
    <w:rsid w:val="58AE2F04"/>
    <w:rsid w:val="58FD5F28"/>
    <w:rsid w:val="59FE58CE"/>
    <w:rsid w:val="5BB609E6"/>
    <w:rsid w:val="5CAE48A9"/>
    <w:rsid w:val="5CD55BB8"/>
    <w:rsid w:val="5D944C2E"/>
    <w:rsid w:val="5DBC2795"/>
    <w:rsid w:val="5F425B93"/>
    <w:rsid w:val="5F9455D1"/>
    <w:rsid w:val="60504D8C"/>
    <w:rsid w:val="617D36FC"/>
    <w:rsid w:val="61B14737"/>
    <w:rsid w:val="62470EBA"/>
    <w:rsid w:val="64CA458F"/>
    <w:rsid w:val="651D30B4"/>
    <w:rsid w:val="685B052B"/>
    <w:rsid w:val="690B7435"/>
    <w:rsid w:val="6CCB781D"/>
    <w:rsid w:val="6F1E60C5"/>
    <w:rsid w:val="6F693649"/>
    <w:rsid w:val="706200AD"/>
    <w:rsid w:val="70A04530"/>
    <w:rsid w:val="71374A1A"/>
    <w:rsid w:val="75A848BE"/>
    <w:rsid w:val="768474A2"/>
    <w:rsid w:val="7A69005D"/>
    <w:rsid w:val="7E36401D"/>
    <w:rsid w:val="7E62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paragraph" w:styleId="5">
    <w:name w:val="heading 3"/>
    <w:basedOn w:val="1"/>
    <w:next w:val="6"/>
    <w:qFormat/>
    <w:uiPriority w:val="99"/>
    <w:pPr>
      <w:keepNext/>
      <w:keepLines/>
      <w:spacing w:before="260" w:after="260" w:line="415" w:lineRule="auto"/>
      <w:outlineLvl w:val="2"/>
    </w:pPr>
    <w:rPr>
      <w:b/>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7">
    <w:name w:val="List Continue"/>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99"/>
    <w:pPr>
      <w:jc w:val="center"/>
    </w:pPr>
    <w:rPr>
      <w:rFonts w:ascii="Times New Roman" w:hAnsi="Times New Roman" w:cs="Times New Roman"/>
      <w:sz w:val="28"/>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character" w:customStyle="1" w:styleId="15">
    <w:name w:val="def"/>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2021-03-30T00:28:00Z</dcterms:created>
  <dc:creator>影风</dc:creator>
  <cp:lastModifiedBy>尘土</cp:lastModifiedBy>
  <cp:lastPrinted>2021-10-22T08:23:00Z</cp:lastPrinted>
  <dcterms:modified xsi:type="dcterms:W3CDTF">2021-10-23T01:35:46Z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5BF497515D6D424BB43DD36A1C2EFF03</vt:lpwstr>
  </property>
</Properties>
</file>