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相王医药</w:t>
      </w:r>
      <w:r>
        <w:rPr>
          <w:rFonts w:hint="eastAsia" w:asciiTheme="minorEastAsia" w:hAnsiTheme="minorEastAsia" w:eastAsiaTheme="minorEastAsia" w:cstheme="minorEastAsia"/>
          <w:b/>
          <w:bCs/>
          <w:sz w:val="28"/>
          <w:szCs w:val="28"/>
          <w:lang w:eastAsia="zh-CN"/>
        </w:rPr>
        <w:t>检测设备</w:t>
      </w:r>
      <w:r>
        <w:rPr>
          <w:rFonts w:hint="eastAsia" w:asciiTheme="minorEastAsia" w:hAnsiTheme="minorEastAsia" w:eastAsiaTheme="minorEastAsia" w:cstheme="minorEastAsia"/>
          <w:b/>
          <w:bCs/>
          <w:sz w:val="28"/>
          <w:szCs w:val="28"/>
        </w:rPr>
        <w:t>采购</w:t>
      </w:r>
      <w:r>
        <w:rPr>
          <w:rFonts w:hint="eastAsia" w:asciiTheme="minorEastAsia" w:hAnsiTheme="minorEastAsia" w:eastAsiaTheme="minorEastAsia" w:cstheme="minorEastAsia"/>
          <w:b/>
          <w:bCs/>
          <w:sz w:val="28"/>
          <w:szCs w:val="28"/>
          <w:lang w:eastAsia="zh-CN"/>
        </w:rPr>
        <w:t>招标文件</w:t>
      </w:r>
    </w:p>
    <w:p>
      <w:pPr>
        <w:keepNext w:val="0"/>
        <w:keepLines w:val="0"/>
        <w:pageBreakBefore w:val="0"/>
        <w:kinsoku/>
        <w:wordWrap/>
        <w:overflowPunct/>
        <w:topLinePunct w:val="0"/>
        <w:bidi w:val="0"/>
        <w:snapToGrid w:val="0"/>
        <w:spacing w:beforeAutospacing="0" w:afterAutospacing="0" w:line="360" w:lineRule="auto"/>
        <w:ind w:left="3730" w:leftChars="981" w:hanging="1670" w:hangingChars="594"/>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第一部分投标须知</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一、项目名称：</w:t>
      </w:r>
      <w:r>
        <w:rPr>
          <w:rFonts w:hint="eastAsia" w:asciiTheme="minorEastAsia" w:hAnsiTheme="minorEastAsia" w:eastAsiaTheme="minorEastAsia" w:cstheme="minorEastAsia"/>
          <w:sz w:val="28"/>
          <w:szCs w:val="28"/>
          <w:lang w:val="en-US" w:eastAsia="zh-CN"/>
        </w:rPr>
        <w:t>检测设备采购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二、招标人：</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三、招标文件编号：</w:t>
      </w:r>
      <w:r>
        <w:rPr>
          <w:rFonts w:hint="eastAsia" w:asciiTheme="minorEastAsia" w:hAnsiTheme="minorEastAsia" w:eastAsiaTheme="minorEastAsia" w:cstheme="minorEastAsia"/>
          <w:sz w:val="28"/>
          <w:szCs w:val="28"/>
        </w:rPr>
        <w:t>相王医药采</w:t>
      </w:r>
      <w:r>
        <w:rPr>
          <w:rFonts w:hint="eastAsia" w:asciiTheme="minorEastAsia" w:hAnsiTheme="minorEastAsia" w:eastAsiaTheme="minorEastAsia" w:cstheme="minorEastAsia"/>
          <w:color w:val="FF0000"/>
          <w:sz w:val="28"/>
          <w:szCs w:val="28"/>
        </w:rPr>
        <w:t>202</w:t>
      </w:r>
      <w:r>
        <w:rPr>
          <w:rFonts w:hint="eastAsia" w:asciiTheme="minorEastAsia" w:hAnsiTheme="minorEastAsia" w:eastAsiaTheme="minorEastAsia" w:cstheme="minorEastAsia"/>
          <w:color w:val="FF0000"/>
          <w:sz w:val="28"/>
          <w:szCs w:val="28"/>
          <w:lang w:val="en-US" w:eastAsia="zh-CN"/>
        </w:rPr>
        <w:t>1221</w:t>
      </w:r>
    </w:p>
    <w:p>
      <w:p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b/>
          <w:bCs/>
          <w:sz w:val="28"/>
          <w:szCs w:val="28"/>
        </w:rPr>
        <w:t>四、项目内容：</w:t>
      </w:r>
      <w:r>
        <w:rPr>
          <w:rFonts w:hint="eastAsia" w:asciiTheme="minorEastAsia" w:hAnsiTheme="minorEastAsia" w:eastAsiaTheme="minorEastAsia" w:cstheme="minorEastAsia"/>
          <w:sz w:val="28"/>
          <w:szCs w:val="28"/>
          <w:lang w:val="en-US" w:eastAsia="zh-CN"/>
        </w:rPr>
        <w:t>检测设备采购</w:t>
      </w:r>
      <w:r>
        <w:rPr>
          <w:rFonts w:hint="eastAsia" w:ascii="宋体" w:hAnsi="宋体"/>
          <w:sz w:val="28"/>
          <w:szCs w:val="28"/>
          <w:lang w:val="en-US" w:eastAsia="zh-CN"/>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投标人资格</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在中华人民共和国境内注册,有独立法人营业执照，有本次招</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标采购设备的生产许可证</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rPr>
        <w:t>代理经销</w:t>
      </w:r>
      <w:r>
        <w:rPr>
          <w:rFonts w:hint="eastAsia" w:asciiTheme="minorEastAsia" w:hAnsiTheme="minorEastAsia" w:eastAsiaTheme="minorEastAsia" w:cstheme="minorEastAsia"/>
          <w:sz w:val="28"/>
          <w:szCs w:val="28"/>
          <w:lang w:eastAsia="zh-CN"/>
        </w:rPr>
        <w:t>商</w:t>
      </w:r>
      <w:r>
        <w:rPr>
          <w:rFonts w:hint="eastAsia" w:asciiTheme="minorEastAsia" w:hAnsiTheme="minorEastAsia" w:eastAsiaTheme="minorEastAsia" w:cstheme="minorEastAsia"/>
          <w:sz w:val="28"/>
          <w:szCs w:val="28"/>
        </w:rPr>
        <w:t>须有生产厂家授权经销证明。</w:t>
      </w:r>
    </w:p>
    <w:p>
      <w:pPr>
        <w:keepNext w:val="0"/>
        <w:keepLines w:val="0"/>
        <w:pageBreakBefore w:val="0"/>
        <w:numPr>
          <w:ilvl w:val="0"/>
          <w:numId w:val="1"/>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投标人须在近两年内参与的项目中，没有因违规、违纪受到处</w:t>
      </w:r>
    </w:p>
    <w:p>
      <w:pPr>
        <w:keepNext w:val="0"/>
        <w:keepLines w:val="0"/>
        <w:pageBreakBefore w:val="0"/>
        <w:numPr>
          <w:ilvl w:val="0"/>
          <w:numId w:val="0"/>
        </w:numPr>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罚；参加投标的设备须在近两年内没有发生过重大质量、安全事故。</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六、投标保证金</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投标人需缴纳投标保证金</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auto"/>
          <w:sz w:val="28"/>
          <w:szCs w:val="28"/>
          <w:lang w:val="en-US" w:eastAsia="zh-CN"/>
        </w:rPr>
        <w:t>000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元。</w:t>
      </w:r>
      <w:r>
        <w:rPr>
          <w:rFonts w:hint="eastAsia" w:cs="宋体"/>
          <w:color w:val="000000" w:themeColor="text1"/>
          <w:sz w:val="28"/>
          <w:szCs w:val="28"/>
          <w:lang w:eastAsia="zh-CN"/>
          <w14:textFill>
            <w14:solidFill>
              <w14:schemeClr w14:val="tx1"/>
            </w14:solidFill>
          </w14:textFill>
        </w:rPr>
        <w:t>投标保证金以现金方式在</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开标现场缴纳。如在投标截止前投标人未交纳投标保证金的，将拒收</w:t>
      </w:r>
    </w:p>
    <w:p>
      <w:pPr>
        <w:snapToGrid w:val="0"/>
        <w:spacing w:line="360" w:lineRule="auto"/>
        <w:jc w:val="left"/>
        <w:rPr>
          <w:rFonts w:hint="eastAsia" w:ascii="宋体" w:hAnsi="宋体" w:cs="宋体"/>
          <w:sz w:val="28"/>
          <w:szCs w:val="28"/>
        </w:rPr>
      </w:pPr>
      <w:r>
        <w:rPr>
          <w:rFonts w:hint="eastAsia" w:cs="宋体"/>
          <w:color w:val="000000" w:themeColor="text1"/>
          <w:sz w:val="28"/>
          <w:szCs w:val="28"/>
          <w:lang w:eastAsia="zh-CN"/>
          <w14:textFill>
            <w14:solidFill>
              <w14:schemeClr w14:val="tx1"/>
            </w14:solidFill>
          </w14:textFill>
        </w:rPr>
        <w:t>其投标文件。</w:t>
      </w:r>
      <w:r>
        <w:rPr>
          <w:rFonts w:hint="eastAsia" w:ascii="宋体" w:hAnsi="宋体" w:cs="宋体"/>
          <w:sz w:val="28"/>
          <w:szCs w:val="28"/>
        </w:rPr>
        <w:t>未中标单位保证金在定标后无息退还。</w:t>
      </w:r>
      <w:r>
        <w:rPr>
          <w:rFonts w:hint="eastAsia" w:ascii="宋体" w:hAnsi="宋体" w:cs="宋体"/>
          <w:sz w:val="28"/>
          <w:szCs w:val="28"/>
          <w:lang w:eastAsia="zh-CN"/>
        </w:rPr>
        <w:t>拟</w:t>
      </w:r>
      <w:r>
        <w:rPr>
          <w:rFonts w:hint="eastAsia" w:ascii="宋体" w:hAnsi="宋体" w:cs="宋体"/>
          <w:sz w:val="28"/>
          <w:szCs w:val="28"/>
        </w:rPr>
        <w:t>中标</w:t>
      </w:r>
      <w:r>
        <w:rPr>
          <w:rFonts w:hint="eastAsia" w:ascii="宋体" w:hAnsi="宋体" w:cs="宋体"/>
          <w:sz w:val="28"/>
          <w:szCs w:val="28"/>
          <w:lang w:eastAsia="zh-CN"/>
        </w:rPr>
        <w:t>单</w:t>
      </w:r>
      <w:r>
        <w:rPr>
          <w:rFonts w:hint="eastAsia" w:ascii="宋体" w:hAnsi="宋体" w:cs="宋体"/>
          <w:sz w:val="28"/>
          <w:szCs w:val="28"/>
        </w:rPr>
        <w:t>位的投</w:t>
      </w:r>
    </w:p>
    <w:p>
      <w:pPr>
        <w:snapToGrid w:val="0"/>
        <w:spacing w:line="360" w:lineRule="auto"/>
        <w:jc w:val="left"/>
        <w:rPr>
          <w:rFonts w:hint="eastAsia" w:cs="宋体"/>
          <w:color w:val="000000" w:themeColor="text1"/>
          <w:sz w:val="28"/>
          <w:szCs w:val="28"/>
          <w:lang w:eastAsia="zh-CN"/>
          <w14:textFill>
            <w14:solidFill>
              <w14:schemeClr w14:val="tx1"/>
            </w14:solidFill>
          </w14:textFill>
        </w:rPr>
      </w:pPr>
      <w:r>
        <w:rPr>
          <w:rFonts w:hint="eastAsia" w:ascii="宋体" w:hAnsi="宋体" w:cs="宋体"/>
          <w:sz w:val="28"/>
          <w:szCs w:val="28"/>
        </w:rPr>
        <w:t>标保证金在履约保证金足额缴纳后无息退还。</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cs="宋体"/>
          <w:color w:val="000000" w:themeColor="text1"/>
          <w:sz w:val="28"/>
          <w:szCs w:val="28"/>
          <w14:textFill>
            <w14:solidFill>
              <w14:schemeClr w14:val="tx1"/>
            </w14:solidFill>
          </w14:textFill>
        </w:rPr>
        <w:t>投标截止后投标人撤销投标文件的以及投标人中标后拒绝签订合同</w:t>
      </w:r>
      <w:r>
        <w:rPr>
          <w:rFonts w:hint="eastAsia" w:cs="宋体"/>
          <w:color w:val="000000" w:themeColor="text1"/>
          <w:sz w:val="28"/>
          <w:szCs w:val="28"/>
          <w:lang w:eastAsia="zh-CN"/>
          <w14:textFill>
            <w14:solidFill>
              <w14:schemeClr w14:val="tx1"/>
            </w14:solidFill>
          </w14:textFill>
        </w:rPr>
        <w:t>、放弃中标</w:t>
      </w:r>
      <w:r>
        <w:rPr>
          <w:rFonts w:hint="eastAsia" w:cs="宋体"/>
          <w:color w:val="000000" w:themeColor="text1"/>
          <w:sz w:val="28"/>
          <w:szCs w:val="28"/>
          <w14:textFill>
            <w14:solidFill>
              <w14:schemeClr w14:val="tx1"/>
            </w14:solidFill>
          </w14:textFill>
        </w:rPr>
        <w:t>的，投标保证金不予退还。</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lang w:val="en-US" w:eastAsia="zh-CN"/>
        </w:rPr>
        <w:t>中标人须以现金缴纳3000元中标服务费。</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八、履约保证金</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中标单位应于接到中标通知书后的5日内向招标人指定账户打入成</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交金额10%的履约金，并在15个工作日内签订采购合同，若中标单</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位未在规定时间内缴纳履约保证金，并无正当理由的视为自动放弃中</w:t>
      </w:r>
    </w:p>
    <w:p>
      <w:pPr>
        <w:keepNext w:val="0"/>
        <w:keepLines w:val="0"/>
        <w:pageBreakBefore w:val="0"/>
        <w:kinsoku/>
        <w:wordWrap/>
        <w:overflowPunct/>
        <w:topLinePunct w:val="0"/>
        <w:bidi w:val="0"/>
        <w:snapToGrid w:val="0"/>
        <w:spacing w:beforeAutospacing="0" w:afterAutospacing="0" w:line="360" w:lineRule="auto"/>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标资格。</w:t>
      </w:r>
    </w:p>
    <w:p>
      <w:pPr>
        <w:pStyle w:val="10"/>
        <w:numPr>
          <w:ilvl w:val="0"/>
          <w:numId w:val="2"/>
        </w:numPr>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报名方式与报名截止时间</w:t>
      </w:r>
    </w:p>
    <w:p>
      <w:pPr>
        <w:pStyle w:val="10"/>
        <w:numPr>
          <w:ilvl w:val="0"/>
          <w:numId w:val="0"/>
        </w:numPr>
        <w:ind w:left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采取网上报名，于2022</w:t>
      </w:r>
      <w:r>
        <w:rPr>
          <w:rFonts w:hint="eastAsia" w:asciiTheme="minorEastAsia" w:hAnsiTheme="minorEastAsia" w:eastAsiaTheme="minorEastAsia" w:cstheme="minorEastAsia"/>
          <w:color w:val="0000FF"/>
          <w:kern w:val="2"/>
          <w:sz w:val="28"/>
          <w:szCs w:val="28"/>
          <w:lang w:val="en-US" w:eastAsia="zh-CN" w:bidi="ar-SA"/>
        </w:rPr>
        <w:t>年1月13日下</w:t>
      </w:r>
      <w:r>
        <w:rPr>
          <w:rFonts w:hint="eastAsia" w:asciiTheme="minorEastAsia" w:hAnsiTheme="minorEastAsia" w:eastAsiaTheme="minorEastAsia" w:cstheme="minorEastAsia"/>
          <w:kern w:val="2"/>
          <w:sz w:val="28"/>
          <w:szCs w:val="28"/>
          <w:lang w:val="en-US" w:eastAsia="zh-CN" w:bidi="ar-SA"/>
        </w:rPr>
        <w:t>午17：00前，将投标单位的营业执照影印件、单位联系方式通过电子邮件形式发送至邮箱2295829959 @QQ.com</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w:t>
      </w:r>
      <w:r>
        <w:rPr>
          <w:rFonts w:hint="eastAsia" w:asciiTheme="minorEastAsia" w:hAnsiTheme="minorEastAsia" w:eastAsiaTheme="minorEastAsia" w:cstheme="minorEastAsia"/>
          <w:b/>
          <w:bCs/>
          <w:sz w:val="28"/>
          <w:szCs w:val="28"/>
        </w:rPr>
        <w:t>、招标时间安排</w:t>
      </w:r>
    </w:p>
    <w:p>
      <w:pPr>
        <w:snapToGrid w:val="0"/>
        <w:spacing w:line="360" w:lineRule="auto"/>
        <w:ind w:left="0" w:leftChars="0" w:firstLine="0" w:firstLineChars="0"/>
        <w:jc w:val="left"/>
        <w:rPr>
          <w:rFonts w:hint="default" w:eastAsia="宋体"/>
          <w:color w:val="FF0000"/>
          <w:sz w:val="28"/>
          <w:szCs w:val="28"/>
          <w:lang w:val="en-US" w:eastAsia="zh-CN"/>
        </w:rPr>
      </w:pPr>
      <w:r>
        <w:rPr>
          <w:rFonts w:hint="eastAsia" w:cs="宋体"/>
          <w:color w:val="000000" w:themeColor="text1"/>
          <w:sz w:val="28"/>
          <w:szCs w:val="28"/>
          <w14:textFill>
            <w14:solidFill>
              <w14:schemeClr w14:val="tx1"/>
            </w14:solidFill>
          </w14:textFill>
        </w:rPr>
        <w:t>（一）开标时间：</w:t>
      </w:r>
      <w:r>
        <w:rPr>
          <w:color w:val="FF0000"/>
          <w:sz w:val="28"/>
          <w:szCs w:val="28"/>
        </w:rPr>
        <w:t>202</w:t>
      </w:r>
      <w:r>
        <w:rPr>
          <w:rFonts w:hint="eastAsia"/>
          <w:color w:val="FF0000"/>
          <w:sz w:val="28"/>
          <w:szCs w:val="28"/>
          <w:lang w:val="en-US" w:eastAsia="zh-CN"/>
        </w:rPr>
        <w:t>2</w:t>
      </w:r>
      <w:r>
        <w:rPr>
          <w:rFonts w:hint="eastAsia" w:cs="宋体"/>
          <w:color w:val="FF0000"/>
          <w:sz w:val="28"/>
          <w:szCs w:val="28"/>
        </w:rPr>
        <w:t>年</w:t>
      </w:r>
      <w:r>
        <w:rPr>
          <w:rFonts w:hint="eastAsia" w:cs="宋体"/>
          <w:color w:val="FF0000"/>
          <w:sz w:val="28"/>
          <w:szCs w:val="28"/>
          <w:lang w:val="en-US" w:eastAsia="zh-CN"/>
        </w:rPr>
        <w:t>1</w:t>
      </w:r>
      <w:r>
        <w:rPr>
          <w:rFonts w:hint="eastAsia" w:cs="宋体"/>
          <w:color w:val="FF0000"/>
          <w:sz w:val="28"/>
          <w:szCs w:val="28"/>
        </w:rPr>
        <w:t>月</w:t>
      </w:r>
      <w:r>
        <w:rPr>
          <w:rFonts w:hint="eastAsia" w:cs="宋体"/>
          <w:color w:val="FF0000"/>
          <w:sz w:val="28"/>
          <w:szCs w:val="28"/>
          <w:lang w:val="en-US" w:eastAsia="zh-CN"/>
        </w:rPr>
        <w:t>14</w:t>
      </w:r>
      <w:r>
        <w:rPr>
          <w:rFonts w:hint="eastAsia" w:cs="宋体"/>
          <w:color w:val="FF0000"/>
          <w:sz w:val="28"/>
          <w:szCs w:val="28"/>
        </w:rPr>
        <w:t>日</w:t>
      </w:r>
      <w:r>
        <w:rPr>
          <w:rFonts w:hint="eastAsia" w:cs="宋体"/>
          <w:color w:val="FF0000"/>
          <w:sz w:val="28"/>
          <w:szCs w:val="28"/>
          <w:lang w:eastAsia="zh-CN"/>
        </w:rPr>
        <w:t>上午</w:t>
      </w:r>
      <w:r>
        <w:rPr>
          <w:rFonts w:hint="eastAsia" w:cs="宋体"/>
          <w:color w:val="FF0000"/>
          <w:sz w:val="28"/>
          <w:szCs w:val="28"/>
          <w:lang w:val="en-US" w:eastAsia="zh-CN"/>
        </w:rPr>
        <w:t>9：00</w:t>
      </w:r>
    </w:p>
    <w:p>
      <w:pPr>
        <w:snapToGrid w:val="0"/>
        <w:spacing w:line="360" w:lineRule="auto"/>
        <w:jc w:val="lef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（二）开标地点：淮北市相山北路</w:t>
      </w:r>
      <w:r>
        <w:rPr>
          <w:color w:val="000000" w:themeColor="text1"/>
          <w:sz w:val="28"/>
          <w:szCs w:val="28"/>
          <w14:textFill>
            <w14:solidFill>
              <w14:schemeClr w14:val="tx1"/>
            </w14:solidFill>
          </w14:textFill>
        </w:rPr>
        <w:t>3</w:t>
      </w:r>
      <w:r>
        <w:rPr>
          <w:rFonts w:hint="eastAsia" w:cs="宋体"/>
          <w:color w:val="000000" w:themeColor="text1"/>
          <w:sz w:val="28"/>
          <w:szCs w:val="28"/>
          <w14:textFill>
            <w14:solidFill>
              <w14:schemeClr w14:val="tx1"/>
            </w14:solidFill>
          </w14:textFill>
        </w:rPr>
        <w:t>号皖北康复医院</w:t>
      </w:r>
      <w:r>
        <w:rPr>
          <w:rFonts w:hint="eastAsia" w:cs="宋体"/>
          <w:color w:val="000000" w:themeColor="text1"/>
          <w:sz w:val="28"/>
          <w:szCs w:val="28"/>
          <w:lang w:val="en-US" w:eastAsia="zh-CN"/>
          <w14:textFill>
            <w14:solidFill>
              <w14:schemeClr w14:val="tx1"/>
            </w14:solidFill>
          </w14:textFill>
        </w:rPr>
        <w:t xml:space="preserve">7 </w:t>
      </w:r>
      <w:r>
        <w:rPr>
          <w:rFonts w:hint="eastAsia" w:cs="宋体"/>
          <w:color w:val="000000" w:themeColor="text1"/>
          <w:sz w:val="28"/>
          <w:szCs w:val="28"/>
          <w14:textFill>
            <w14:solidFill>
              <w14:schemeClr w14:val="tx1"/>
            </w14:solidFill>
          </w14:textFill>
        </w:rPr>
        <w:t>号楼</w:t>
      </w:r>
      <w:r>
        <w:rPr>
          <w:rFonts w:hint="eastAsia" w:cs="宋体"/>
          <w:color w:val="000000" w:themeColor="text1"/>
          <w:sz w:val="28"/>
          <w:szCs w:val="28"/>
          <w:lang w:val="en-US" w:eastAsia="zh-CN"/>
          <w14:textFill>
            <w14:solidFill>
              <w14:schemeClr w14:val="tx1"/>
            </w14:solidFill>
          </w14:textFill>
        </w:rPr>
        <w:t xml:space="preserve"> 4</w:t>
      </w:r>
      <w:r>
        <w:rPr>
          <w:rFonts w:hint="eastAsia" w:cs="宋体"/>
          <w:color w:val="000000" w:themeColor="text1"/>
          <w:sz w:val="28"/>
          <w:szCs w:val="28"/>
          <w14:textFill>
            <w14:solidFill>
              <w14:schemeClr w14:val="tx1"/>
            </w14:solidFill>
          </w14:textFill>
        </w:rPr>
        <w:t>楼会</w:t>
      </w:r>
    </w:p>
    <w:p>
      <w:pPr>
        <w:snapToGrid w:val="0"/>
        <w:spacing w:line="360" w:lineRule="auto"/>
        <w:jc w:val="left"/>
        <w:rPr>
          <w:rFonts w:cs="Times New Roman"/>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议室</w:t>
      </w:r>
    </w:p>
    <w:p>
      <w:pPr>
        <w:snapToGrid w:val="0"/>
        <w:spacing w:line="360" w:lineRule="auto"/>
        <w:jc w:val="left"/>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cs="宋体"/>
          <w:color w:val="000000" w:themeColor="text1"/>
          <w:sz w:val="28"/>
          <w:szCs w:val="28"/>
          <w14:textFill>
            <w14:solidFill>
              <w14:schemeClr w14:val="tx1"/>
            </w14:solidFill>
          </w14:textFill>
        </w:rPr>
        <w:t>（三）投标截止时间：</w:t>
      </w:r>
      <w:r>
        <w:rPr>
          <w:color w:val="FF0000"/>
          <w:sz w:val="28"/>
          <w:szCs w:val="28"/>
        </w:rPr>
        <w:t>202</w:t>
      </w:r>
      <w:r>
        <w:rPr>
          <w:rFonts w:hint="eastAsia"/>
          <w:color w:val="FF0000"/>
          <w:sz w:val="28"/>
          <w:szCs w:val="28"/>
          <w:lang w:val="en-US" w:eastAsia="zh-CN"/>
        </w:rPr>
        <w:t>2</w:t>
      </w:r>
      <w:r>
        <w:rPr>
          <w:rFonts w:hint="eastAsia" w:cs="宋体"/>
          <w:color w:val="FF0000"/>
          <w:sz w:val="28"/>
          <w:szCs w:val="28"/>
        </w:rPr>
        <w:t>年</w:t>
      </w:r>
      <w:r>
        <w:rPr>
          <w:rFonts w:hint="eastAsia" w:cs="宋体"/>
          <w:color w:val="FF0000"/>
          <w:sz w:val="28"/>
          <w:szCs w:val="28"/>
          <w:lang w:val="en-US" w:eastAsia="zh-CN"/>
        </w:rPr>
        <w:t xml:space="preserve"> 1</w:t>
      </w:r>
      <w:r>
        <w:rPr>
          <w:rFonts w:hint="eastAsia" w:cs="宋体"/>
          <w:color w:val="FF0000"/>
          <w:sz w:val="28"/>
          <w:szCs w:val="28"/>
        </w:rPr>
        <w:t>月</w:t>
      </w:r>
      <w:r>
        <w:rPr>
          <w:rFonts w:hint="eastAsia" w:cs="宋体"/>
          <w:color w:val="FF0000"/>
          <w:sz w:val="28"/>
          <w:szCs w:val="28"/>
          <w:lang w:val="en-US" w:eastAsia="zh-CN"/>
        </w:rPr>
        <w:t>14</w:t>
      </w:r>
      <w:bookmarkStart w:id="3" w:name="_GoBack"/>
      <w:bookmarkEnd w:id="3"/>
      <w:r>
        <w:rPr>
          <w:rFonts w:hint="eastAsia" w:cs="宋体"/>
          <w:color w:val="FF0000"/>
          <w:sz w:val="28"/>
          <w:szCs w:val="28"/>
        </w:rPr>
        <w:t>日</w:t>
      </w:r>
      <w:r>
        <w:rPr>
          <w:rFonts w:hint="eastAsia" w:cs="宋体"/>
          <w:color w:val="FF0000"/>
          <w:sz w:val="28"/>
          <w:szCs w:val="28"/>
          <w:lang w:eastAsia="zh-CN"/>
        </w:rPr>
        <w:t>上午</w:t>
      </w:r>
      <w:r>
        <w:rPr>
          <w:rFonts w:hint="eastAsia" w:cs="宋体"/>
          <w:color w:val="FF0000"/>
          <w:sz w:val="28"/>
          <w:szCs w:val="28"/>
          <w:lang w:val="en-US" w:eastAsia="zh-CN"/>
        </w:rPr>
        <w:t>9：00</w:t>
      </w:r>
      <w:r>
        <w:rPr>
          <w:rFonts w:hint="eastAsia" w:cs="宋体"/>
          <w:color w:val="FF0000"/>
          <w:sz w:val="28"/>
          <w:szCs w:val="28"/>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十一</w:t>
      </w:r>
      <w:r>
        <w:rPr>
          <w:rFonts w:hint="eastAsia" w:asciiTheme="minorEastAsia" w:hAnsiTheme="minorEastAsia" w:eastAsiaTheme="minorEastAsia" w:cstheme="minorEastAsia"/>
          <w:b/>
          <w:bCs/>
          <w:sz w:val="28"/>
          <w:szCs w:val="28"/>
        </w:rPr>
        <w:t>、投标文件的澄清与说明</w:t>
      </w:r>
    </w:p>
    <w:p>
      <w:pPr>
        <w:pStyle w:val="9"/>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投标人如对招标文件提出质疑，请在202</w:t>
      </w:r>
      <w:r>
        <w:rPr>
          <w:rFonts w:hint="eastAsia" w:ascii="Calibri" w:hAnsi="Calibri" w:cs="宋体"/>
          <w:color w:val="000000" w:themeColor="text1"/>
          <w:kern w:val="2"/>
          <w:sz w:val="28"/>
          <w:szCs w:val="28"/>
          <w:lang w:val="en-US" w:eastAsia="zh-CN" w:bidi="ar-SA"/>
          <w14:textFill>
            <w14:solidFill>
              <w14:schemeClr w14:val="tx1"/>
            </w14:solidFill>
          </w14:textFill>
        </w:rPr>
        <w:t>2</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年</w:t>
      </w:r>
      <w:r>
        <w:rPr>
          <w:rFonts w:hint="eastAsia" w:ascii="Calibri" w:hAnsi="Calibri" w:cs="宋体"/>
          <w:color w:val="000000" w:themeColor="text1"/>
          <w:kern w:val="2"/>
          <w:sz w:val="28"/>
          <w:szCs w:val="28"/>
          <w:lang w:val="en-US" w:eastAsia="zh-CN" w:bidi="ar-SA"/>
          <w14:textFill>
            <w14:solidFill>
              <w14:schemeClr w14:val="tx1"/>
            </w14:solidFill>
          </w14:textFill>
        </w:rPr>
        <w:t>1</w:t>
      </w:r>
      <w:r>
        <w:rPr>
          <w:rFonts w:hint="eastAsia" w:ascii="Calibri" w:hAnsi="Calibri" w:eastAsia="宋体" w:cs="宋体"/>
          <w:color w:val="FF0000"/>
          <w:kern w:val="2"/>
          <w:sz w:val="28"/>
          <w:szCs w:val="28"/>
          <w:lang w:val="en-US" w:eastAsia="zh-CN" w:bidi="ar-SA"/>
        </w:rPr>
        <w:t>月</w:t>
      </w:r>
      <w:r>
        <w:rPr>
          <w:rFonts w:hint="eastAsia" w:ascii="Calibri" w:hAnsi="Calibri" w:cs="宋体"/>
          <w:color w:val="FF0000"/>
          <w:kern w:val="2"/>
          <w:sz w:val="28"/>
          <w:szCs w:val="28"/>
          <w:lang w:val="en-US" w:eastAsia="zh-CN" w:bidi="ar-SA"/>
        </w:rPr>
        <w:t>6</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上</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11：00</w:t>
      </w:r>
    </w:p>
    <w:p>
      <w:pPr>
        <w:pStyle w:val="9"/>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前以不署名电子邮件形式发送至邮箱</w:t>
      </w:r>
      <w:r>
        <w:rPr>
          <w:rFonts w:hint="eastAsia" w:ascii="Calibri" w:hAnsi="Calibri" w:cs="宋体"/>
          <w:color w:val="FF0000"/>
          <w:kern w:val="2"/>
          <w:sz w:val="28"/>
          <w:szCs w:val="28"/>
          <w:lang w:val="en-US" w:eastAsia="zh-CN" w:bidi="ar-SA"/>
        </w:rPr>
        <w:t>2295829959</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@QQ.com，招标人</w:t>
      </w:r>
    </w:p>
    <w:p>
      <w:pPr>
        <w:pStyle w:val="9"/>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于202</w:t>
      </w:r>
      <w:r>
        <w:rPr>
          <w:rFonts w:hint="eastAsia" w:ascii="Calibri" w:hAnsi="Calibri" w:cs="宋体"/>
          <w:color w:val="000000" w:themeColor="text1"/>
          <w:kern w:val="2"/>
          <w:sz w:val="28"/>
          <w:szCs w:val="28"/>
          <w:lang w:val="en-US" w:eastAsia="zh-CN" w:bidi="ar-SA"/>
          <w14:textFill>
            <w14:solidFill>
              <w14:schemeClr w14:val="tx1"/>
            </w14:solidFill>
          </w14:textFill>
        </w:rPr>
        <w:t>2</w:t>
      </w:r>
      <w:r>
        <w:rPr>
          <w:rFonts w:hint="eastAsia" w:ascii="Calibri" w:hAnsi="Calibri" w:eastAsia="宋体" w:cs="宋体"/>
          <w:color w:val="FF0000"/>
          <w:kern w:val="2"/>
          <w:sz w:val="28"/>
          <w:szCs w:val="28"/>
          <w:lang w:val="en-US" w:eastAsia="zh-CN" w:bidi="ar-SA"/>
        </w:rPr>
        <w:t>年</w:t>
      </w:r>
      <w:r>
        <w:rPr>
          <w:rFonts w:hint="eastAsia" w:ascii="Calibri" w:hAnsi="Calibri" w:cs="宋体"/>
          <w:color w:val="FF0000"/>
          <w:kern w:val="2"/>
          <w:sz w:val="28"/>
          <w:szCs w:val="28"/>
          <w:lang w:val="en-US" w:eastAsia="zh-CN" w:bidi="ar-SA"/>
        </w:rPr>
        <w:t>1</w:t>
      </w:r>
      <w:r>
        <w:rPr>
          <w:rFonts w:hint="eastAsia" w:ascii="Calibri" w:hAnsi="Calibri" w:eastAsia="宋体" w:cs="宋体"/>
          <w:color w:val="FF0000"/>
          <w:kern w:val="2"/>
          <w:sz w:val="28"/>
          <w:szCs w:val="28"/>
          <w:lang w:val="en-US" w:eastAsia="zh-CN" w:bidi="ar-SA"/>
        </w:rPr>
        <w:t>月</w:t>
      </w:r>
      <w:r>
        <w:rPr>
          <w:rFonts w:hint="eastAsia" w:ascii="Calibri" w:hAnsi="Calibri" w:cs="宋体"/>
          <w:color w:val="FF0000"/>
          <w:kern w:val="2"/>
          <w:sz w:val="28"/>
          <w:szCs w:val="28"/>
          <w:lang w:val="en-US" w:eastAsia="zh-CN" w:bidi="ar-SA"/>
        </w:rPr>
        <w:t>7</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日</w:t>
      </w:r>
      <w:r>
        <w:rPr>
          <w:rFonts w:hint="eastAsia" w:ascii="Calibri" w:hAnsi="Calibri" w:cs="宋体"/>
          <w:color w:val="000000" w:themeColor="text1"/>
          <w:kern w:val="2"/>
          <w:sz w:val="28"/>
          <w:szCs w:val="28"/>
          <w:lang w:val="en-US" w:eastAsia="zh-CN" w:bidi="ar-SA"/>
          <w14:textFill>
            <w14:solidFill>
              <w14:schemeClr w14:val="tx1"/>
            </w14:solidFill>
          </w14:textFill>
        </w:rPr>
        <w:t>下</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午</w:t>
      </w:r>
      <w:r>
        <w:rPr>
          <w:rFonts w:hint="eastAsia" w:ascii="Calibri" w:hAnsi="Calibri" w:cs="宋体"/>
          <w:color w:val="000000" w:themeColor="text1"/>
          <w:kern w:val="2"/>
          <w:sz w:val="28"/>
          <w:szCs w:val="28"/>
          <w:lang w:val="en-US" w:eastAsia="zh-CN" w:bidi="ar-SA"/>
          <w14:textFill>
            <w14:solidFill>
              <w14:schemeClr w14:val="tx1"/>
            </w14:solidFill>
          </w14:textFill>
        </w:rPr>
        <w:t>5：00</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前在</w:t>
      </w:r>
      <w:r>
        <w:rPr>
          <w:rFonts w:hint="eastAsia" w:cs="宋体" w:asciiTheme="minorEastAsia" w:hAnsiTheme="minorEastAsia"/>
          <w:color w:val="000000" w:themeColor="text1"/>
          <w:kern w:val="0"/>
          <w:sz w:val="28"/>
          <w:szCs w:val="28"/>
          <w14:textFill>
            <w14:solidFill>
              <w14:schemeClr w14:val="tx1"/>
            </w14:solidFill>
          </w14:textFill>
        </w:rPr>
        <w:t>安徽皖北康复医院官网</w:t>
      </w:r>
      <w:r>
        <w:rPr>
          <w:rFonts w:hint="eastAsia" w:ascii="Calibri" w:hAnsi="Calibri" w:eastAsia="宋体" w:cs="宋体"/>
          <w:color w:val="000000" w:themeColor="text1"/>
          <w:kern w:val="2"/>
          <w:sz w:val="28"/>
          <w:szCs w:val="28"/>
          <w:lang w:val="en-US" w:eastAsia="zh-CN" w:bidi="ar-SA"/>
          <w14:textFill>
            <w14:solidFill>
              <w14:schemeClr w14:val="tx1"/>
            </w14:solidFill>
          </w14:textFill>
        </w:rPr>
        <w:t>予以公</w:t>
      </w:r>
    </w:p>
    <w:p>
      <w:pPr>
        <w:pStyle w:val="9"/>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Calibri" w:hAnsi="Calibri" w:eastAsia="宋体" w:cs="宋体"/>
          <w:color w:val="000000" w:themeColor="text1"/>
          <w:kern w:val="2"/>
          <w:sz w:val="28"/>
          <w:szCs w:val="28"/>
          <w:lang w:val="en-US" w:eastAsia="zh-CN" w:bidi="ar-SA"/>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告统一答复，逾期的质疑概不受理，开标后不得对招标文件的内容或</w:t>
      </w:r>
    </w:p>
    <w:p>
      <w:pPr>
        <w:pStyle w:val="9"/>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Theme="minorEastAsia" w:hAnsiTheme="minorEastAsia" w:eastAsiaTheme="minorEastAsia" w:cstheme="minorEastAsia"/>
          <w:b/>
          <w:bCs/>
          <w:color w:val="000000" w:themeColor="text1"/>
          <w14:textFill>
            <w14:solidFill>
              <w14:schemeClr w14:val="tx1"/>
            </w14:solidFill>
          </w14:textFill>
        </w:rPr>
      </w:pPr>
      <w:r>
        <w:rPr>
          <w:rFonts w:hint="eastAsia" w:ascii="Calibri" w:hAnsi="Calibri" w:eastAsia="宋体" w:cs="宋体"/>
          <w:color w:val="000000" w:themeColor="text1"/>
          <w:kern w:val="2"/>
          <w:sz w:val="28"/>
          <w:szCs w:val="28"/>
          <w:lang w:val="en-US" w:eastAsia="zh-CN" w:bidi="ar-SA"/>
          <w14:textFill>
            <w14:solidFill>
              <w14:schemeClr w14:val="tx1"/>
            </w14:solidFill>
          </w14:textFill>
        </w:rPr>
        <w:t>条款提出质疑。</w:t>
      </w:r>
    </w:p>
    <w:p>
      <w:pPr>
        <w:pStyle w:val="9"/>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eastAsia="zh-CN"/>
        </w:rPr>
        <w:t>十二</w:t>
      </w:r>
      <w:r>
        <w:rPr>
          <w:rFonts w:hint="eastAsia" w:asciiTheme="minorEastAsia" w:hAnsiTheme="minorEastAsia" w:eastAsiaTheme="minorEastAsia" w:cstheme="minorEastAsia"/>
          <w:b/>
          <w:bCs/>
        </w:rPr>
        <w:t>、评标办法：</w:t>
      </w:r>
      <w:r>
        <w:rPr>
          <w:rFonts w:hint="eastAsia" w:asciiTheme="minorEastAsia" w:hAnsiTheme="minorEastAsia" w:eastAsiaTheme="minorEastAsia" w:cstheme="minorEastAsia"/>
        </w:rPr>
        <w:t>综合评分法</w:t>
      </w:r>
    </w:p>
    <w:p>
      <w:pPr>
        <w:pStyle w:val="9"/>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十三</w:t>
      </w:r>
      <w:r>
        <w:rPr>
          <w:rFonts w:hint="eastAsia" w:asciiTheme="minorEastAsia" w:hAnsiTheme="minorEastAsia" w:eastAsiaTheme="minorEastAsia" w:cstheme="minorEastAsia"/>
          <w:b/>
          <w:bCs/>
        </w:rPr>
        <w:t>、投标文件</w:t>
      </w:r>
    </w:p>
    <w:p>
      <w:pPr>
        <w:pStyle w:val="9"/>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投标人应交送</w:t>
      </w:r>
      <w:r>
        <w:rPr>
          <w:rFonts w:hint="eastAsia" w:asciiTheme="minorEastAsia" w:hAnsiTheme="minorEastAsia" w:eastAsiaTheme="minorEastAsia" w:cstheme="minorEastAsia"/>
          <w:b/>
          <w:bCs/>
        </w:rPr>
        <w:t>5</w:t>
      </w:r>
      <w:r>
        <w:rPr>
          <w:rFonts w:hint="eastAsia" w:asciiTheme="minorEastAsia" w:hAnsiTheme="minorEastAsia" w:eastAsiaTheme="minorEastAsia" w:cstheme="minorEastAsia"/>
        </w:rPr>
        <w:t>份纸质投标文件，标有正本（</w:t>
      </w:r>
      <w:r>
        <w:rPr>
          <w:rFonts w:hint="eastAsia" w:asciiTheme="minorEastAsia" w:hAnsiTheme="minorEastAsia" w:eastAsiaTheme="minorEastAsia" w:cstheme="minorEastAsia"/>
          <w:b/>
          <w:bCs/>
        </w:rPr>
        <w:t>1</w:t>
      </w:r>
      <w:r>
        <w:rPr>
          <w:rFonts w:hint="eastAsia" w:asciiTheme="minorEastAsia" w:hAnsiTheme="minorEastAsia" w:eastAsiaTheme="minorEastAsia" w:cstheme="minorEastAsia"/>
        </w:rPr>
        <w:t>份），副本（</w:t>
      </w:r>
      <w:r>
        <w:rPr>
          <w:rFonts w:hint="eastAsia" w:asciiTheme="minorEastAsia" w:hAnsiTheme="minorEastAsia" w:eastAsiaTheme="minorEastAsia" w:cstheme="minorEastAsia"/>
          <w:b/>
          <w:bCs/>
        </w:rPr>
        <w:t>4</w:t>
      </w:r>
    </w:p>
    <w:p>
      <w:pPr>
        <w:pStyle w:val="9"/>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rPr>
        <w:t>份）。</w:t>
      </w:r>
      <w:r>
        <w:rPr>
          <w:rFonts w:hint="eastAsia" w:asciiTheme="minorEastAsia" w:hAnsiTheme="minorEastAsia" w:eastAsiaTheme="minorEastAsia" w:cstheme="minorEastAsia"/>
          <w:color w:val="000000" w:themeColor="text1"/>
          <w14:textFill>
            <w14:solidFill>
              <w14:schemeClr w14:val="tx1"/>
            </w14:solidFill>
          </w14:textFill>
        </w:rPr>
        <w:t>电子版投标文件1份（光盘U盘均可），电子版投标文件内容须</w:t>
      </w:r>
    </w:p>
    <w:p>
      <w:pPr>
        <w:pStyle w:val="9"/>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与纸质投标文件完全相同。</w:t>
      </w:r>
    </w:p>
    <w:p>
      <w:pPr>
        <w:pStyle w:val="9"/>
        <w:keepNext w:val="0"/>
        <w:keepLines w:val="0"/>
        <w:pageBreakBefore w:val="0"/>
        <w:numPr>
          <w:ilvl w:val="0"/>
          <w:numId w:val="0"/>
        </w:numPr>
        <w:kinsoku/>
        <w:wordWrap/>
        <w:overflowPunct/>
        <w:topLinePunct w:val="0"/>
        <w:bidi w:val="0"/>
        <w:snapToGrid w:val="0"/>
        <w:spacing w:beforeAutospacing="0" w:afterAutospacing="0" w:line="360" w:lineRule="auto"/>
        <w:ind w:leftChars="-695" w:firstLine="1400" w:firstLineChars="50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投标文件须盖投标人公章，并有法定代表人或委托代理人的签</w:t>
      </w:r>
    </w:p>
    <w:p>
      <w:pPr>
        <w:pStyle w:val="9"/>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名。</w:t>
      </w:r>
    </w:p>
    <w:p>
      <w:pPr>
        <w:pStyle w:val="9"/>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投标文件的正、副本应密封包装，封口处贴封条并骑缝加盖公</w:t>
      </w:r>
    </w:p>
    <w:p>
      <w:pPr>
        <w:pStyle w:val="9"/>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章。封面注明招标项目和招标单位、投标人名称，并注明“开标时启封”字样。投标文件不按规定密封视为无效。电子版投标文件须单独密封，并注明投标人名称。无电子版投标文件，招标方拒绝接受投标方的投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投标文件须实质性响应招标文件的要求，实质性内容是指物资</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采购数量、投标方案、主要技术规格、主要合同条款等，招标文件中要求的“投标文件编制内容”，投标文件不得漏项，如有漏项，视为没有“实质性”响应招标文件。</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凡招标文件中有投标文件编制格式的部分，投标文件须按招标</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文件规定的格式编制，不按规定格式填报的投标文件可能造成无效投标。</w:t>
      </w:r>
    </w:p>
    <w:p>
      <w:pPr>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投标人应保证投标文件及资料均未侵犯他人的知识产权，否则</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投标人必须承担由此引起的全部法律责任。</w:t>
      </w:r>
    </w:p>
    <w:p>
      <w:pPr>
        <w:pStyle w:val="9"/>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若投标人使用了他人的专利、专有技术，涉及的费用由投标人</w:t>
      </w:r>
    </w:p>
    <w:p>
      <w:pPr>
        <w:pStyle w:val="9"/>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w:t>
      </w:r>
    </w:p>
    <w:p>
      <w:pPr>
        <w:pStyle w:val="9"/>
        <w:keepNext w:val="0"/>
        <w:keepLines w:val="0"/>
        <w:pageBreakBefore w:val="0"/>
        <w:numPr>
          <w:ilvl w:val="0"/>
          <w:numId w:val="1"/>
        </w:numPr>
        <w:kinsoku/>
        <w:wordWrap/>
        <w:overflowPunct/>
        <w:topLinePunct w:val="0"/>
        <w:bidi w:val="0"/>
        <w:snapToGrid w:val="0"/>
        <w:spacing w:beforeAutospacing="0" w:afterAutospacing="0" w:line="360" w:lineRule="auto"/>
        <w:ind w:left="1946" w:leftChars="0" w:hanging="1946" w:hangingChars="695"/>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招标人不接受投标人对任何未办理正常进口手续的非中华人</w:t>
      </w:r>
    </w:p>
    <w:p>
      <w:pPr>
        <w:pStyle w:val="9"/>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rPr>
        <w:t>民共和国境内生产的货物的投标报价。</w:t>
      </w:r>
    </w:p>
    <w:p>
      <w:pPr>
        <w:pStyle w:val="9"/>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投标人</w:t>
      </w:r>
      <w:r>
        <w:rPr>
          <w:rFonts w:hint="eastAsia" w:asciiTheme="minorEastAsia" w:hAnsiTheme="minorEastAsia" w:eastAsiaTheme="minorEastAsia" w:cstheme="minorEastAsia"/>
          <w:lang w:eastAsia="zh-CN"/>
        </w:rPr>
        <w:t>参标设备的技术参数</w:t>
      </w:r>
      <w:r>
        <w:rPr>
          <w:rFonts w:hint="eastAsia" w:asciiTheme="minorEastAsia" w:hAnsiTheme="minorEastAsia" w:eastAsiaTheme="minorEastAsia" w:cstheme="minorEastAsia"/>
        </w:rPr>
        <w:t>如</w:t>
      </w:r>
      <w:r>
        <w:rPr>
          <w:rFonts w:hint="eastAsia" w:asciiTheme="minorEastAsia" w:hAnsiTheme="minorEastAsia" w:eastAsiaTheme="minorEastAsia" w:cstheme="minorEastAsia"/>
          <w:lang w:eastAsia="zh-CN"/>
        </w:rPr>
        <w:t>与</w:t>
      </w:r>
      <w:r>
        <w:rPr>
          <w:rFonts w:hint="eastAsia" w:asciiTheme="minorEastAsia" w:hAnsiTheme="minorEastAsia" w:eastAsiaTheme="minorEastAsia" w:cstheme="minorEastAsia"/>
        </w:rPr>
        <w:t>招标文件</w:t>
      </w:r>
      <w:r>
        <w:rPr>
          <w:rFonts w:hint="eastAsia" w:asciiTheme="minorEastAsia" w:hAnsiTheme="minorEastAsia" w:eastAsiaTheme="minorEastAsia" w:cstheme="minorEastAsia"/>
          <w:lang w:eastAsia="zh-CN"/>
        </w:rPr>
        <w:t>所列相应参数不同</w:t>
      </w:r>
      <w:r>
        <w:rPr>
          <w:rFonts w:hint="eastAsia" w:asciiTheme="minorEastAsia" w:hAnsiTheme="minorEastAsia" w:eastAsiaTheme="minorEastAsia" w:cstheme="minorEastAsia"/>
        </w:rPr>
        <w:t>，可在技术偏离表中填写。</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十</w:t>
      </w: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、下列情况之一者为废标：</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（一）没有按照招标文件要求提交投标保证金的；</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（二）投标人不符合国家或者招标文件规定的资格条件的；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（三）投标人的投标报价多于一个，且未指定以哪个为准；</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（四）投标文件未盖公章及法定代表人或委托代理人印章（或签名）；</w:t>
      </w:r>
    </w:p>
    <w:p>
      <w:pPr>
        <w:keepNext w:val="0"/>
        <w:keepLines w:val="0"/>
        <w:pageBreakBefore w:val="0"/>
        <w:tabs>
          <w:tab w:val="left" w:pos="1050"/>
        </w:tabs>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（五）投标文件未按招标文件规定的格式和要求编制；</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（六）没有对招标文件提出的要求和条件作出实质性响应的；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（七）串通投标、以行贿手段谋取中标、以他人名义或者其他弄虚作</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1941" w:leftChars="399" w:hanging="1103" w:hangingChars="394"/>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假方式投标的；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jc w:val="left"/>
        <w:textAlignment w:val="auto"/>
        <w:outlineLvl w:val="9"/>
        <w:rPr>
          <w:rFonts w:hint="eastAsia" w:eastAsiaTheme="minorEastAsia"/>
          <w:lang w:val="en-US" w:eastAsia="zh-CN"/>
        </w:rPr>
      </w:pPr>
      <w:r>
        <w:rPr>
          <w:rFonts w:hint="eastAsia" w:asciiTheme="minorEastAsia" w:hAnsiTheme="minorEastAsia" w:eastAsiaTheme="minorEastAsia" w:cstheme="minorEastAsia"/>
          <w:kern w:val="2"/>
          <w:sz w:val="28"/>
          <w:szCs w:val="28"/>
          <w:lang w:val="en-US" w:eastAsia="zh-CN" w:bidi="ar-SA"/>
        </w:rPr>
        <w:t>(八）设备参数中★项不满足的</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（九）评委会一致确认应属于废标的其它严重情况。</w:t>
      </w: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firstLine="1968" w:firstLineChars="700"/>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二</w:t>
      </w:r>
      <w:r>
        <w:rPr>
          <w:rFonts w:hint="eastAsia" w:asciiTheme="minorEastAsia" w:hAnsiTheme="minorEastAsia" w:eastAsiaTheme="minorEastAsia" w:cstheme="minorEastAsia"/>
          <w:b/>
          <w:bCs/>
          <w:sz w:val="28"/>
          <w:szCs w:val="28"/>
        </w:rPr>
        <w:t>部分设备采购内容及技术要求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ajorEastAsia" w:hAnsiTheme="majorEastAsia" w:eastAsiaTheme="majorEastAsia" w:cstheme="majorEastAsia"/>
          <w:sz w:val="24"/>
          <w:szCs w:val="24"/>
          <w:lang w:val="en-US" w:eastAsia="zh-CN"/>
        </w:rPr>
      </w:pPr>
      <w:r>
        <w:rPr>
          <w:rFonts w:hint="eastAsia" w:asciiTheme="minorEastAsia" w:hAnsiTheme="minorEastAsia" w:eastAsiaTheme="minorEastAsia" w:cstheme="minorEastAsia"/>
          <w:b/>
          <w:bCs/>
          <w:kern w:val="0"/>
          <w:sz w:val="28"/>
          <w:szCs w:val="28"/>
          <w:lang w:val="en-US" w:eastAsia="zh-CN"/>
        </w:rPr>
        <w:t>一 、检测设备一批。</w:t>
      </w:r>
    </w:p>
    <w:p>
      <w:pPr>
        <w:keepNext w:val="0"/>
        <w:keepLines w:val="0"/>
        <w:pageBreakBefore w:val="0"/>
        <w:numPr>
          <w:ilvl w:val="0"/>
          <w:numId w:val="0"/>
        </w:numPr>
        <w:kinsoku/>
        <w:wordWrap/>
        <w:overflowPunct/>
        <w:topLinePunct w:val="0"/>
        <w:bidi w:val="0"/>
        <w:snapToGrid w:val="0"/>
        <w:spacing w:beforeAutospacing="0" w:afterAutospacing="0" w:line="360" w:lineRule="auto"/>
        <w:ind w:firstLine="562" w:firstLineChars="200"/>
        <w:jc w:val="left"/>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bCs/>
          <w:kern w:val="0"/>
          <w:sz w:val="28"/>
          <w:szCs w:val="28"/>
          <w:lang w:val="en-US" w:eastAsia="zh-CN"/>
        </w:rPr>
        <w:t>总控制价 50 万元</w:t>
      </w:r>
    </w:p>
    <w:p>
      <w:pPr>
        <w:keepNext w:val="0"/>
        <w:keepLines w:val="0"/>
        <w:pageBreakBefore w:val="0"/>
        <w:numPr>
          <w:ilvl w:val="0"/>
          <w:numId w:val="3"/>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主要设备技术参数及配置要求</w:t>
      </w:r>
    </w:p>
    <w:p>
      <w:pPr>
        <w:numPr>
          <w:ilvl w:val="0"/>
          <w:numId w:val="4"/>
        </w:num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bookmarkStart w:id="0" w:name="_Toc16747"/>
      <w:r>
        <w:rPr>
          <w:rFonts w:hint="eastAsia" w:asciiTheme="minorEastAsia" w:hAnsiTheme="minorEastAsia" w:eastAsiaTheme="minorEastAsia" w:cstheme="minorEastAsia"/>
          <w:b/>
          <w:bCs/>
          <w:sz w:val="28"/>
          <w:szCs w:val="28"/>
          <w:lang w:val="en-US" w:eastAsia="zh-CN"/>
        </w:rPr>
        <w:t>防护级X、γ剂量率仪</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1.检测射线类型：χ，γ</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2.★探测器类型： NaI（Tl）探测器</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3.测量范围：0.1 -1500μSv/h</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4.能量响应： 30 keV -3 MeV</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5.剂量检测：剂量率和累积剂量均可测量</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6.最低探测下限：仪表最低可测读值应当不大于0.01μSv/h；</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7.误差：Hp（10）≤±15%（Cs-137）（提供第三方权威机构的检验报告）</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8.响应时间：≤1 s</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9.报警项目：超阈值报警、探测器故障报警、低电报警报警</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10.统计涨落（重复性）：≤5%</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11.使用环境：－30℃~＋40℃</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12.可任意设置报警阈值，超阈声光报警</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13.测量时间：1、5、10、20、30、40、50、60、70、80、90秒可选</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14.★显示单位;剂 量 率：nSv/h、nGy/h、nR/h可选择、累计剂量：µSv、计数率：cps</w:t>
      </w:r>
    </w:p>
    <w:p>
      <w:pPr>
        <w:numPr>
          <w:ilvl w:val="0"/>
          <w:numId w:val="4"/>
        </w:num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环境级X、γ剂量率仪</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1.检测射线类型：X、γ</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2.★主探测器:NaI(TI)闪烁体探测器 闪烁体尺寸：φ50mm×50mm</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3.主探测器能量响应：20keV~3.0MeV</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4.主探测器剂量率量程：环境级：1nSv/h~400μGy/h</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5.主机内置探测器类型：GM管</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6.剂量率范围：0.01uSv/h~150mSv/h</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7.★测量方式：实时值、平均值、最大值累积剂量：0.00uSv-999999Sv</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8.相对固有误差：≤士15%(相对137cs）</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9.可充电锂电池，电池使用时间：&gt;24小时</w:t>
      </w:r>
    </w:p>
    <w:p>
      <w:pPr>
        <w:numPr>
          <w:ilvl w:val="0"/>
          <w:numId w:val="4"/>
        </w:num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αβ表面污染检测仪</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1、★分体式双探测器设计</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2、主探测器探测器：双闪晶体ZnS(Ag)</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3、γ剂量探测器：GM管</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4、γ剂量率：0.01～150mSv/h</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5、主机可时时显示γ剂量率数值</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6、对α、β/γ分开测量</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7、★探测器面积：≥60cm2</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8、本底计数（可扣除）： 每分钟计数α≤0.1cps，β≤25cps</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9、显示单位：CPM、CPS、Bq/cm2、mSv、nSv/h、μSv/h、mSv/h</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10、相对基本误差：≤±15%  </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11、主机内置GM探测器，实时监测操作人员周围环境</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12、供电电源：可充电锂电池</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13、数据存储：可插拔4G以上存储卡，可储存10万组数据</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14、工作环境：温度范围：-40℃~+55℃；湿度范围：0~98%</w:t>
      </w:r>
    </w:p>
    <w:p>
      <w:pPr>
        <w:numPr>
          <w:ilvl w:val="0"/>
          <w:numId w:val="4"/>
        </w:num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中子测量装置</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1检测射线类型：同时测量中子剂量率和γ剂量率</w:t>
      </w:r>
    </w:p>
    <w:p>
      <w:pPr>
        <w:pStyle w:val="2"/>
        <w:numPr>
          <w:ilvl w:val="0"/>
          <w:numId w:val="5"/>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★操作主机：智能手机+专业APP，主机采用超大工业级彩显屏，</w:t>
      </w:r>
    </w:p>
    <w:p>
      <w:pPr>
        <w:pStyle w:val="2"/>
        <w:numPr>
          <w:ilvl w:val="0"/>
          <w:numId w:val="0"/>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智能终端，64G存储</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3.防护：耐腐蚀、耐磨防水铝质外壳</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4.探测器：高性能3He气体探测器</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5.★剂量率范围：0.1μSv/h~100mSv/h（3He气体管）</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6.灵敏度：5cps（μSv/h）（Am-Be中子源）</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7.相对固有误差：≤±15％（241Am-Be中子源），提供第三方权威机</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构的检定报告</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8.能量响应：热中子～14MeV</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9.耐γ性能：10mGy/h 137Cs γ场中，γ压低优于100:1</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10.附加误差在±10%（对1mSv/h）以内</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11.角响应：≤±25%（0 - ±90℃）</w:t>
      </w:r>
    </w:p>
    <w:p>
      <w:pPr>
        <w:numPr>
          <w:ilvl w:val="0"/>
          <w:numId w:val="4"/>
        </w:num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氡及其子体测量装置</w:t>
      </w:r>
    </w:p>
    <w:p>
      <w:pPr>
        <w:pStyle w:val="2"/>
        <w:numPr>
          <w:ilvl w:val="0"/>
          <w:numId w:val="6"/>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符合  GB/T 14582-93《环境空气中氡的标准测量方法》、</w:t>
      </w:r>
    </w:p>
    <w:p>
      <w:pPr>
        <w:pStyle w:val="2"/>
        <w:numPr>
          <w:ilvl w:val="0"/>
          <w:numId w:val="0"/>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GB/T13163.2-2005/IEC 61577《氡及氡子体测量仪》、 GB 50325-2020《民用建筑工程室内环境污染控制标准》、T/CECS 569-2019《建筑室内空气中氡检测方法标准》要求</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2.多种测量：可测量空气氡、土壤氡及水中氡及氡析出率</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3.★探测器：高分辨大面积硅探测器</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4.目标气体：222Rn氡射气；220Rn钍射气</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5.检测范围：空气氡：（2～999999）Bq/m3</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水中氡：（0.002～999.999）Bq/L</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土壤氡：（300～999999）Bq/m3</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氡析出率：（0.001～33.000）Bq/[m2•s]</w:t>
      </w:r>
    </w:p>
    <w:p>
      <w:pPr>
        <w:pStyle w:val="2"/>
        <w:numPr>
          <w:ilvl w:val="0"/>
          <w:numId w:val="7"/>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★检测模式：嗅探模式：0.011cpm/[Bq·m-3]，正常模式：</w:t>
      </w:r>
    </w:p>
    <w:p>
      <w:pPr>
        <w:pStyle w:val="2"/>
        <w:numPr>
          <w:ilvl w:val="0"/>
          <w:numId w:val="0"/>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0.022cpm/[Bq·m-3]</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7.探测下限：2 Bq/m3  </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8.本底计数：小于0.02 cpm</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9.内置泵： 1.5升/分钟</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10.能谱：能实时显示显示氡气和钍射气的特征峰的α能谱。</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11.稳定性：相对误差 ≤10%，（提供第三方权威机构的检验报告）</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12.周期时间：从1分钟到24小时可任意设置</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13.数据存储：存储不小于180000次氡气测量周期数据，包括时间、</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日期、温度、湿度、电池电压、操作模式、氡气及钍射气和统计不确</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定度。</w:t>
      </w:r>
    </w:p>
    <w:p>
      <w:pPr>
        <w:numPr>
          <w:ilvl w:val="0"/>
          <w:numId w:val="4"/>
        </w:num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空气采样装置</w:t>
      </w:r>
    </w:p>
    <w:p>
      <w:pPr>
        <w:pStyle w:val="2"/>
        <w:numPr>
          <w:ilvl w:val="0"/>
          <w:numId w:val="8"/>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★适用于放射性碘和气溶胶的简单取样以及微尘的连续取样</w:t>
      </w:r>
    </w:p>
    <w:p>
      <w:pPr>
        <w:pStyle w:val="2"/>
        <w:numPr>
          <w:ilvl w:val="0"/>
          <w:numId w:val="0"/>
        </w:numPr>
        <w:ind w:leftChars="-695" w:firstLine="1400" w:firstLineChars="5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2、手动调速</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3、可复位的、耗用时间计时器</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4、瞬时流量读数</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5、连续或间歇使用</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6、重量小于4.5kg</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7、流量范围：60-340升/分钟大流量空气取样器，115VAC，包括1 1/2＂</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雌竖管接口</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8、电机/泵：电刷，二阶离心风机</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9、最大流量：12 CFM (FP2063-20) &amp; 6.5 CFM (FP5211-20)</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10、滤纸尺寸：直径2英寸（50mm）。</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11、转子流量计显示瞬时流量，流量大小连续可调。</w:t>
      </w:r>
    </w:p>
    <w:p>
      <w:pPr>
        <w:numPr>
          <w:ilvl w:val="0"/>
          <w:numId w:val="4"/>
        </w:numPr>
        <w:spacing w:line="360" w:lineRule="auto"/>
        <w:ind w:left="0" w:leftChars="0" w:firstLine="0" w:firstLineChars="0"/>
        <w:outlineLvl w:val="1"/>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空气采样泵</w:t>
      </w:r>
    </w:p>
    <w:p>
      <w:pPr>
        <w:pStyle w:val="2"/>
        <w:numPr>
          <w:ilvl w:val="0"/>
          <w:numId w:val="9"/>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★采样流量：5-5000ml/min； 分辨率：1ml/min；准确度：优于</w:t>
      </w:r>
    </w:p>
    <w:p>
      <w:pPr>
        <w:pStyle w:val="2"/>
        <w:numPr>
          <w:ilvl w:val="0"/>
          <w:numId w:val="0"/>
        </w:numP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2.续航时间：﹥20小时；</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3.充电时间：≤6小时；</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4.充电方式：座充、三连充、五连充；</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5.温度显示：有；大气压显示：有；</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6.自动校准：有；  </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7.整机防滑、采样嘴防摔：有；数字恒流防爆：有；</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8.定时、定容、循环采样：有；；电量不足报警：有；</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9.负载能力：﹥25KPa； 仪器噪声：≤65dB（A）</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10.★具有矿用安标证书；矿用煤安等级：ExiaⅠMa（需提供证明材</w:t>
      </w:r>
    </w:p>
    <w:p>
      <w:pPr>
        <w:pStyle w:val="2"/>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料）</w:t>
      </w:r>
    </w:p>
    <w:p>
      <w:pPr>
        <w:pStyle w:val="10"/>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（八）矿用防爆个体噪声</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1.符合标准：GB/T 3785-2010 2级，GB/T 15952-2010。</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2.测量范围：  </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声压级测量范围：60-141 dBA</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峰值C声级测量范围：80-144 dB ; </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声暴露测量范围：0.01 Pa2h到99.99 Pa2h;</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噪声剂量测量范围：0%到9999% </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3.频率范围：20 Hz-12.5 kHz</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4.频率计权：两通道并行，每通道A、C、Z分别可选</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5.时间计权：每通道并行F、S、I</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6.测量指标：LXYp、LXeq,T、LXYmax、LXYmin、LN、SEL、Lex8h、LAVG、TWA、DOSE、SD、Lpeak</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7.积分测量时间：1s到24h任意可设定</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8.数据存贮：192kB Flash RAM</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9.存贮组数：96组</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10.★个人声暴露计模块：</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模块数量：2；测量内容：TWA、LAVG、E、Lex8h</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11.★需有矿用防爆合格证，ExiaIMa,可以进入煤矿井下使用</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12.工作温度：-10℃ ~ 50℃</w:t>
      </w:r>
    </w:p>
    <w:p>
      <w:pPr>
        <w:pStyle w:val="10"/>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（九）超高频电磁场强仪器</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1、★使用频率范围：30～300MHz，超高频电磁场</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2、量程范围：0～450V/m</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第一档：0～30V/m</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第二档：30～150V/m</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第三档：50～450V/m</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3.误差：整机测量误差≤±30%</w:t>
      </w:r>
    </w:p>
    <w:p>
      <w:pPr>
        <w:pStyle w:val="10"/>
        <w:ind w:left="0" w:leftChars="0" w:firstLine="0" w:firstLineChars="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4、使用条件：（1） 环境温度：－10～+40℃（2）相对湿度：80%以下</w:t>
      </w:r>
    </w:p>
    <w:p>
      <w:pPr>
        <w:pStyle w:val="10"/>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（十）PH酸度计</w:t>
      </w:r>
    </w:p>
    <w:p>
      <w:pPr>
        <w:widowControl/>
        <w:numPr>
          <w:ilvl w:val="0"/>
          <w:numId w:val="0"/>
        </w:numPr>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val="en-US" w:eastAsia="zh-CN" w:bidi="ar"/>
        </w:rPr>
        <w:t>1,</w:t>
      </w:r>
      <w:r>
        <w:rPr>
          <w:rFonts w:hint="eastAsia" w:ascii="宋体" w:hAnsi="宋体" w:cs="宋体"/>
          <w:color w:val="000000"/>
          <w:kern w:val="0"/>
          <w:sz w:val="28"/>
          <w:szCs w:val="28"/>
          <w:lang w:bidi="ar"/>
        </w:rPr>
        <w:t xml:space="preserve">测量范围： </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pH/pX：-2.000～20.000pH；0.000～14.000pX</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mV：-1999.9～1999.9mV</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离子浓度：0～19990（可选单位：pX、mol/L、mmol/L、g/L、mg/L、</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μg/L）</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温度值：(-5.0～130.0)℃</w:t>
      </w:r>
    </w:p>
    <w:p>
      <w:pPr>
        <w:widowControl/>
        <w:ind w:left="0" w:leftChars="0" w:firstLine="0" w:firstLineChars="0"/>
        <w:jc w:val="left"/>
        <w:textAlignment w:val="center"/>
        <w:rPr>
          <w:rFonts w:hint="eastAsia" w:ascii="宋体" w:hAnsi="宋体" w:cs="宋体"/>
          <w:color w:val="000000"/>
          <w:kern w:val="0"/>
          <w:sz w:val="28"/>
          <w:szCs w:val="28"/>
          <w:lang w:bidi="ar"/>
        </w:rPr>
      </w:pPr>
      <w:r>
        <w:rPr>
          <w:rFonts w:hint="eastAsia" w:asciiTheme="minorEastAsia" w:hAnsiTheme="minorEastAsia" w:eastAsiaTheme="minorEastAsia" w:cstheme="minorEastAsia"/>
          <w:kern w:val="2"/>
          <w:sz w:val="28"/>
          <w:szCs w:val="28"/>
          <w:lang w:val="en-US" w:eastAsia="zh-CN" w:bidi="ar-SA"/>
        </w:rPr>
        <w:t>★</w:t>
      </w:r>
      <w:r>
        <w:rPr>
          <w:rFonts w:hint="eastAsia" w:ascii="宋体" w:hAnsi="宋体" w:cs="宋体"/>
          <w:color w:val="000000"/>
          <w:kern w:val="0"/>
          <w:sz w:val="28"/>
          <w:szCs w:val="28"/>
          <w:lang w:bidi="ar"/>
        </w:rPr>
        <w:t>2、分辨率：</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pH/pX值：0.001pH/pX</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mV：0.01mV</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温度：0.1℃</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3、基本误差：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pH/pX值：±0.002 pH/pX</w:t>
      </w:r>
    </w:p>
    <w:p>
      <w:pPr>
        <w:widowControl/>
        <w:ind w:left="0" w:leftChars="0" w:firstLine="0" w:firstLineChars="0"/>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mV：±0.03%FS</w:t>
      </w:r>
    </w:p>
    <w:p>
      <w:pPr>
        <w:pStyle w:val="10"/>
        <w:ind w:left="1955" w:leftChars="931" w:firstLine="280" w:firstLineChars="100"/>
        <w:rPr>
          <w:rFonts w:hint="eastAsia" w:ascii="宋体" w:hAnsi="宋体" w:cs="宋体"/>
          <w:color w:val="000000"/>
          <w:kern w:val="0"/>
          <w:sz w:val="28"/>
          <w:szCs w:val="28"/>
          <w:lang w:bidi="ar"/>
        </w:rPr>
      </w:pPr>
    </w:p>
    <w:p>
      <w:pPr>
        <w:pStyle w:val="10"/>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宋体" w:hAnsi="宋体" w:cs="宋体"/>
          <w:color w:val="000000"/>
          <w:kern w:val="0"/>
          <w:sz w:val="28"/>
          <w:szCs w:val="28"/>
          <w:lang w:bidi="ar"/>
        </w:rPr>
        <w:t>离子浓度：0.3％</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温度：±0.1℃</w:t>
      </w:r>
    </w:p>
    <w:p>
      <w:pPr>
        <w:pStyle w:val="10"/>
        <w:numPr>
          <w:ilvl w:val="0"/>
          <w:numId w:val="10"/>
        </w:numPr>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浊度计</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 xml:space="preserve"> 测量范围（NTU）：</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（0～20.00）NTU，（20.0～200.0）NTU，（200～2000）NTU</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★示值误差：不超过±6%</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重复性：不大于0.5%</w:t>
      </w:r>
    </w:p>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★稳定性：不超过±0.5%FS/30分钟</w:t>
      </w:r>
    </w:p>
    <w:p>
      <w:pPr>
        <w:pStyle w:val="10"/>
        <w:numPr>
          <w:ilvl w:val="0"/>
          <w:numId w:val="10"/>
        </w:numPr>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立式压力蒸汽灭菌器（外排式）</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一、工作条件：</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1、工作环境温度10～30℃；</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2、电源220～240V。</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二、技术要求：</w:t>
      </w:r>
    </w:p>
    <w:p>
      <w:pPr>
        <w:widowControl/>
        <w:jc w:val="left"/>
        <w:textAlignment w:val="center"/>
        <w:rPr>
          <w:rFonts w:hint="eastAsia" w:ascii="宋体" w:hAnsi="宋体" w:eastAsia="宋体" w:cs="宋体"/>
          <w:color w:val="000000"/>
          <w:kern w:val="0"/>
          <w:sz w:val="28"/>
          <w:szCs w:val="28"/>
          <w:lang w:eastAsia="zh-CN" w:bidi="ar"/>
        </w:rPr>
      </w:pPr>
      <w:r>
        <w:rPr>
          <w:rFonts w:hint="eastAsia" w:ascii="宋体" w:hAnsi="宋体" w:cs="宋体"/>
          <w:color w:val="000000"/>
          <w:kern w:val="0"/>
          <w:sz w:val="28"/>
          <w:szCs w:val="28"/>
          <w:lang w:bidi="ar"/>
        </w:rPr>
        <w:t>★1、自控型，微电脑智能化控制</w:t>
      </w:r>
      <w:r>
        <w:rPr>
          <w:rFonts w:hint="eastAsia" w:ascii="宋体" w:hAnsi="宋体" w:cs="宋体"/>
          <w:color w:val="000000"/>
          <w:kern w:val="0"/>
          <w:sz w:val="28"/>
          <w:szCs w:val="28"/>
          <w:lang w:eastAsia="zh-CN" w:bidi="ar"/>
        </w:rPr>
        <w:t>；</w:t>
      </w:r>
    </w:p>
    <w:p>
      <w:pPr>
        <w:widowControl/>
        <w:numPr>
          <w:ilvl w:val="0"/>
          <w:numId w:val="8"/>
        </w:numPr>
        <w:ind w:left="1946" w:leftChars="0" w:hanging="1946" w:hangingChars="695"/>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手轮式快开门安全连锁装置结构</w:t>
      </w:r>
      <w:r>
        <w:rPr>
          <w:rFonts w:hint="eastAsia" w:ascii="宋体" w:hAnsi="宋体" w:cs="宋体"/>
          <w:color w:val="000000"/>
          <w:kern w:val="0"/>
          <w:sz w:val="28"/>
          <w:szCs w:val="28"/>
          <w:lang w:eastAsia="zh-CN" w:bidi="ar"/>
        </w:rPr>
        <w:t>；</w:t>
      </w:r>
    </w:p>
    <w:p>
      <w:pPr>
        <w:widowControl/>
        <w:numPr>
          <w:ilvl w:val="0"/>
          <w:numId w:val="0"/>
        </w:numPr>
        <w:ind w:left="-53" w:leftChars="-25" w:firstLine="0" w:firstLineChars="0"/>
        <w:jc w:val="left"/>
        <w:textAlignment w:val="center"/>
        <w:rPr>
          <w:rFonts w:hint="eastAsia" w:ascii="宋体" w:hAnsi="宋体" w:cs="宋体"/>
          <w:color w:val="000000"/>
          <w:kern w:val="0"/>
          <w:sz w:val="28"/>
          <w:szCs w:val="28"/>
          <w:lang w:eastAsia="zh-CN" w:bidi="ar"/>
        </w:rPr>
      </w:pPr>
      <w:r>
        <w:rPr>
          <w:rFonts w:hint="eastAsia" w:ascii="宋体" w:hAnsi="宋体" w:cs="宋体"/>
          <w:color w:val="000000"/>
          <w:kern w:val="0"/>
          <w:sz w:val="28"/>
          <w:szCs w:val="28"/>
          <w:lang w:bidi="ar"/>
        </w:rPr>
        <w:t>3、外壳、筒体、网篮均采用SUS304材料制成，耐酸，耐碱，耐腐蚀</w:t>
      </w: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4、压力安全联锁装置，超温保护装置；自涨式密封圈，自动排放冷空气</w:t>
      </w: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5、低水位报警，断水自控，超压自泄；灭菌终了蜂鸣器提醒</w:t>
      </w:r>
      <w:r>
        <w:rPr>
          <w:rFonts w:hint="eastAsia" w:ascii="宋体" w:hAnsi="宋体" w:cs="宋体"/>
          <w:color w:val="000000"/>
          <w:kern w:val="0"/>
          <w:sz w:val="28"/>
          <w:szCs w:val="28"/>
          <w:lang w:eastAsia="zh-CN" w:bidi="ar"/>
        </w:rPr>
        <w:t>；</w:t>
      </w:r>
    </w:p>
    <w:p>
      <w:pPr>
        <w:widowControl/>
        <w:numPr>
          <w:ilvl w:val="0"/>
          <w:numId w:val="0"/>
        </w:numPr>
        <w:ind w:left="-53" w:leftChars="-25" w:firstLine="0" w:firstLineChars="0"/>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6、标配样品测试孔</w:t>
      </w:r>
      <w:r>
        <w:rPr>
          <w:rFonts w:hint="eastAsia" w:ascii="宋体" w:hAnsi="宋体" w:cs="宋体"/>
          <w:color w:val="000000"/>
          <w:kern w:val="0"/>
          <w:sz w:val="28"/>
          <w:szCs w:val="28"/>
          <w:lang w:eastAsia="zh-CN" w:bidi="ar"/>
        </w:rPr>
        <w:t>；</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★7、容积：≥100L</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8、功率：≤3.5kW</w:t>
      </w:r>
    </w:p>
    <w:p>
      <w:pPr>
        <w:widowControl/>
        <w:ind w:left="1955" w:leftChars="931" w:firstLine="16" w:firstLineChars="6"/>
        <w:jc w:val="left"/>
        <w:textAlignment w:val="center"/>
        <w:rPr>
          <w:rFonts w:hint="eastAsia" w:ascii="宋体" w:hAnsi="宋体" w:cs="宋体"/>
          <w:color w:val="000000"/>
          <w:kern w:val="0"/>
          <w:sz w:val="28"/>
          <w:szCs w:val="28"/>
          <w:lang w:bidi="ar"/>
        </w:rPr>
      </w:pPr>
    </w:p>
    <w:p>
      <w:pPr>
        <w:widowControl/>
        <w:ind w:left="1955" w:leftChars="931" w:firstLine="16" w:firstLineChars="6"/>
        <w:jc w:val="left"/>
        <w:textAlignment w:val="center"/>
        <w:rPr>
          <w:rFonts w:hint="eastAsia" w:ascii="宋体" w:hAnsi="宋体" w:cs="宋体"/>
          <w:color w:val="000000"/>
          <w:kern w:val="0"/>
          <w:sz w:val="28"/>
          <w:szCs w:val="28"/>
          <w:lang w:bidi="ar"/>
        </w:rPr>
      </w:pPr>
    </w:p>
    <w:p>
      <w:pPr>
        <w:widowControl/>
        <w:numPr>
          <w:ilvl w:val="0"/>
          <w:numId w:val="11"/>
        </w:numPr>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最高工作/设计温度：≥135℃/138℃</w:t>
      </w:r>
    </w:p>
    <w:p>
      <w:pPr>
        <w:widowControl/>
        <w:numPr>
          <w:ilvl w:val="0"/>
          <w:numId w:val="0"/>
        </w:numPr>
        <w:ind w:left="-53" w:leftChars="-25" w:firstLine="0" w:firstLineChars="0"/>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10、最高工作/设计压力：≥0.22MPa/0.25MPa</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11、内腔尺寸(mm)：≥Φ400×830，筒体直径：≥400mm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12、提篮尺寸(mm)：≥Ф360×2</w:t>
      </w:r>
      <w:r>
        <w:rPr>
          <w:rFonts w:ascii="宋体" w:hAnsi="宋体" w:cs="宋体"/>
          <w:color w:val="000000"/>
          <w:kern w:val="0"/>
          <w:sz w:val="28"/>
          <w:szCs w:val="28"/>
          <w:lang w:bidi="ar"/>
        </w:rPr>
        <w:t>3</w:t>
      </w:r>
      <w:r>
        <w:rPr>
          <w:rFonts w:hint="eastAsia" w:ascii="宋体" w:hAnsi="宋体" w:cs="宋体"/>
          <w:color w:val="000000"/>
          <w:kern w:val="0"/>
          <w:sz w:val="28"/>
          <w:szCs w:val="28"/>
          <w:lang w:bidi="ar"/>
        </w:rPr>
        <w:t>0×3个</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★13、生产商资质要求：压力容器制造许可证、ISO9001质量体系认</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证、CE认证、高新技术企业认证.</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三、配置清单：</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1、主机一台；</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2、提篮3个； </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3、质量证明书一份； </w:t>
      </w:r>
    </w:p>
    <w:p>
      <w:pPr>
        <w:pStyle w:val="10"/>
        <w:numPr>
          <w:ilvl w:val="0"/>
          <w:numId w:val="0"/>
        </w:numPr>
        <w:rPr>
          <w:rFonts w:hint="eastAsia" w:asciiTheme="minorEastAsia" w:hAnsiTheme="minorEastAsia" w:eastAsiaTheme="minorEastAsia" w:cstheme="minorEastAsia"/>
          <w:b/>
          <w:bCs/>
          <w:kern w:val="2"/>
          <w:sz w:val="28"/>
          <w:szCs w:val="28"/>
          <w:lang w:val="en-US" w:eastAsia="zh-CN" w:bidi="ar-SA"/>
        </w:rPr>
      </w:pPr>
      <w:r>
        <w:rPr>
          <w:rFonts w:hint="eastAsia" w:ascii="宋体" w:hAnsi="宋体" w:cs="宋体"/>
          <w:color w:val="000000"/>
          <w:kern w:val="0"/>
          <w:sz w:val="28"/>
          <w:szCs w:val="28"/>
          <w:lang w:bidi="ar"/>
        </w:rPr>
        <w:t>4、保修卡、合格证各一份；</w:t>
      </w:r>
    </w:p>
    <w:p>
      <w:pPr>
        <w:pStyle w:val="10"/>
        <w:numPr>
          <w:ilvl w:val="0"/>
          <w:numId w:val="10"/>
        </w:numPr>
        <w:ind w:left="0" w:leftChars="0" w:firstLine="0" w:firstLineChars="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立式压力蒸汽灭菌器（内排式）</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一、工作条件：</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1、工作环境温度10～30℃；</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2、电源220～240V。</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二、技术要求：</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★1、自控型，微电脑智能化自动控制</w:t>
      </w:r>
    </w:p>
    <w:p>
      <w:pPr>
        <w:widowControl/>
        <w:numPr>
          <w:ilvl w:val="0"/>
          <w:numId w:val="8"/>
        </w:numPr>
        <w:ind w:left="1946" w:leftChars="0" w:hanging="1946" w:hangingChars="695"/>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手轮式快开门安全连锁装置结构，压力安全联锁装置，超温自动</w:t>
      </w:r>
    </w:p>
    <w:p>
      <w:pPr>
        <w:widowControl/>
        <w:numPr>
          <w:ilvl w:val="0"/>
          <w:numId w:val="0"/>
        </w:numPr>
        <w:ind w:left="-53" w:leftChars="-25" w:firstLine="0" w:firstLineChars="0"/>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保护装置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3、自涨式密封圈，自动排放冷空气，断水自控，超压自泄</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★4、内循环排汽式，带3升集气瓶</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5、灭菌终了可设自动排气、蜂鸣器提醒，自动停机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6、标配样品测试孔</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7、三种模式控制：a.加热-灭菌-快排汽 b.加热-灭菌-慢排气c.加热-灭菌-不排汽</w:t>
      </w:r>
    </w:p>
    <w:p>
      <w:pPr>
        <w:widowControl/>
        <w:ind w:left="0" w:leftChars="0" w:firstLine="0" w:firstLineChars="0"/>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8、容积：≥50L</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9、功率：≤2.7kW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10、极限工作/设计温度：≥135℃/138℃</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11、极限工作/设计压力：≥0.22MPa/0.25MPa</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12、内腔尺寸(mm)：≥Ф300×755，筒体直径：≥300mm</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13、提篮尺寸(mm)：Ф280×210×3个</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★14、生产商资质要求：压力容器制造许可证、ISO9001、CE认证、</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高新技术企业认证.</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三、配置清单：</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1、主机一台；</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2、提篮3个； </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 xml:space="preserve">3、质量证明书一份； </w:t>
      </w:r>
    </w:p>
    <w:p>
      <w:pPr>
        <w:pStyle w:val="10"/>
        <w:numPr>
          <w:ilvl w:val="0"/>
          <w:numId w:val="0"/>
        </w:numP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4、保修卡、合格证各一份；</w:t>
      </w:r>
    </w:p>
    <w:p>
      <w:pPr>
        <w:pStyle w:val="10"/>
        <w:numPr>
          <w:ilvl w:val="0"/>
          <w:numId w:val="0"/>
        </w:numP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（十四）可见分光光度计</w:t>
      </w:r>
    </w:p>
    <w:p>
      <w:pPr>
        <w:widowControl/>
        <w:ind w:left="0" w:leftChars="0" w:firstLine="0" w:firstLineChars="0"/>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一、主要性能</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1、主机具有双波长比/差法定量测试功能（提供功能照片）；</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2、可连接喷墨或激光打印机，用A4纸进行打印；</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3、主机测试数据，可通过U盘导出，导出的格式必须包含CSV；</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4、标准曲线有标样校正、系数输入法、OD值输入三种定量法；</w:t>
      </w:r>
    </w:p>
    <w:p>
      <w:pPr>
        <w:widowControl/>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5、仪器样品池内的底部，设计有漏夜孔，可以不小心洒落的液体可</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通过该孔自动流出（提供实物照片）；</w:t>
      </w:r>
    </w:p>
    <w:p>
      <w:pPr>
        <w:widowControl/>
        <w:numPr>
          <w:ilvl w:val="0"/>
          <w:numId w:val="12"/>
        </w:numPr>
        <w:jc w:val="left"/>
        <w:textAlignment w:val="center"/>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主机外壳上，有换灯的小窗口，换灯时避免拆卸整体罩壳（提供</w:t>
      </w:r>
    </w:p>
    <w:p>
      <w:pPr>
        <w:widowControl/>
        <w:numPr>
          <w:ilvl w:val="0"/>
          <w:numId w:val="0"/>
        </w:numPr>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实物照片）。</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二、技术参数</w:t>
      </w:r>
    </w:p>
    <w:p>
      <w:pPr>
        <w:widowControl/>
        <w:ind w:left="0" w:leftChars="0" w:firstLine="0" w:firstLineChars="0"/>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1、测光方式：单光束</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2、波长范围：320.0～1100.0nm</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3、波长准确性：±0.8nm</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4、波长重复性：≤0.4nm</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★5、光谱带宽：4nm</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6、光度准确性：±0.5％</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7、光度重复性：≤0.2％T</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8、杂散光：≤0.2%T(360nm NaNO2)</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9、基线平直度：±0.002A</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10、光源：钨灯&amp;氘灯</w:t>
      </w:r>
    </w:p>
    <w:p>
      <w:pPr>
        <w:widowControl/>
        <w:jc w:val="left"/>
        <w:textAlignment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11、检测器：硅光二极管</w:t>
      </w:r>
    </w:p>
    <w:p>
      <w:pPr>
        <w:pStyle w:val="10"/>
        <w:numPr>
          <w:ilvl w:val="0"/>
          <w:numId w:val="0"/>
        </w:numPr>
        <w:rPr>
          <w:rFonts w:hint="eastAsia" w:asciiTheme="minorEastAsia" w:hAnsiTheme="minorEastAsia" w:eastAsiaTheme="minorEastAsia" w:cstheme="minorEastAsia"/>
          <w:b/>
          <w:bCs/>
          <w:kern w:val="2"/>
          <w:sz w:val="28"/>
          <w:szCs w:val="28"/>
          <w:lang w:val="en-US" w:eastAsia="zh-CN" w:bidi="ar-SA"/>
        </w:rPr>
      </w:pPr>
      <w:r>
        <w:rPr>
          <w:rFonts w:hint="eastAsia" w:ascii="宋体" w:hAnsi="宋体" w:cs="宋体"/>
          <w:color w:val="000000"/>
          <w:kern w:val="0"/>
          <w:sz w:val="28"/>
          <w:szCs w:val="28"/>
          <w:lang w:bidi="ar"/>
        </w:rPr>
        <w:t>12、显示方式：≥5寸，彩色LCD触感屏（无需电容笔）</w:t>
      </w:r>
    </w:p>
    <w:bookmarkEnd w:id="0"/>
    <w:p>
      <w:pPr>
        <w:keepNext w:val="0"/>
        <w:keepLines w:val="0"/>
        <w:pageBreakBefore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b/>
          <w:bCs/>
          <w:sz w:val="28"/>
          <w:szCs w:val="28"/>
          <w:lang w:eastAsia="zh-CN"/>
        </w:rPr>
        <w:t>三、投标人</w:t>
      </w:r>
      <w:r>
        <w:rPr>
          <w:rFonts w:hint="eastAsia" w:asciiTheme="minorEastAsia" w:hAnsiTheme="minorEastAsia" w:eastAsiaTheme="minorEastAsia" w:cstheme="minorEastAsia"/>
          <w:b/>
          <w:bCs/>
          <w:sz w:val="28"/>
          <w:szCs w:val="28"/>
        </w:rPr>
        <w:t>应提供:</w:t>
      </w:r>
      <w:r>
        <w:rPr>
          <w:rFonts w:hint="eastAsia" w:asciiTheme="minorEastAsia" w:hAnsiTheme="minorEastAsia" w:eastAsiaTheme="minorEastAsia" w:cstheme="minorEastAsia"/>
          <w:color w:val="auto"/>
          <w:kern w:val="0"/>
          <w:sz w:val="28"/>
          <w:szCs w:val="28"/>
        </w:rPr>
        <w:t>2019年1月1日</w:t>
      </w:r>
      <w:r>
        <w:rPr>
          <w:rFonts w:hint="eastAsia" w:asciiTheme="minorEastAsia" w:hAnsiTheme="minorEastAsia" w:eastAsiaTheme="minorEastAsia" w:cstheme="minorEastAsia"/>
          <w:color w:val="auto"/>
          <w:kern w:val="0"/>
          <w:sz w:val="28"/>
          <w:szCs w:val="28"/>
          <w:lang w:eastAsia="zh-CN"/>
        </w:rPr>
        <w:t>以来</w:t>
      </w:r>
      <w:r>
        <w:rPr>
          <w:rFonts w:hint="eastAsia" w:ascii="宋体" w:hAnsi="宋体" w:eastAsia="宋体" w:cs="宋体"/>
          <w:color w:val="000000"/>
          <w:kern w:val="0"/>
          <w:sz w:val="28"/>
          <w:szCs w:val="28"/>
          <w:lang w:val="en-US" w:eastAsia="zh-CN" w:bidi="ar"/>
        </w:rPr>
        <w:t>同款设备销售清单及销售合同扫描件（有一项本项目所需设备即可）</w:t>
      </w:r>
      <w:r>
        <w:rPr>
          <w:rFonts w:hint="eastAsia" w:asciiTheme="minorEastAsia" w:hAnsiTheme="minorEastAsia" w:eastAsiaTheme="minorEastAsia" w:cstheme="minorEastAsia"/>
          <w:color w:val="auto"/>
          <w:kern w:val="0"/>
          <w:sz w:val="28"/>
          <w:szCs w:val="28"/>
          <w:lang w:eastAsia="zh-CN"/>
        </w:rPr>
        <w:t>，不接受关联公司业绩</w:t>
      </w:r>
      <w:r>
        <w:rPr>
          <w:rFonts w:hint="eastAsia" w:asciiTheme="minorEastAsia" w:hAnsiTheme="minorEastAsia" w:eastAsiaTheme="minorEastAsia" w:cstheme="minorEastAsia"/>
          <w:color w:val="auto"/>
          <w:kern w:val="0"/>
          <w:sz w:val="28"/>
          <w:szCs w:val="28"/>
        </w:rPr>
        <w:t>。</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四、技术资料</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（一）投标人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提供操作手册一套。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（二）投标人</w:t>
      </w:r>
      <w:r>
        <w:rPr>
          <w:rFonts w:hint="eastAsia" w:asciiTheme="minorEastAsia" w:hAnsiTheme="minorEastAsia" w:eastAsiaTheme="minorEastAsia" w:cstheme="minorEastAsia"/>
          <w:kern w:val="0"/>
          <w:sz w:val="28"/>
          <w:szCs w:val="28"/>
        </w:rPr>
        <w:t>向</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提供设备的运行、安装、使用环境要求。</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bookmarkStart w:id="1" w:name="_Toc211769022"/>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rPr>
        <w:t>人员培训</w:t>
      </w:r>
      <w:bookmarkEnd w:id="1"/>
      <w:bookmarkStart w:id="2" w:name="_Toc211769023"/>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eastAsia="zh-CN"/>
        </w:rPr>
        <w:t>投标人</w:t>
      </w:r>
      <w:r>
        <w:rPr>
          <w:rFonts w:hint="eastAsia" w:asciiTheme="minorEastAsia" w:hAnsiTheme="minorEastAsia" w:eastAsiaTheme="minorEastAsia" w:cstheme="minorEastAsia"/>
          <w:kern w:val="0"/>
          <w:sz w:val="28"/>
          <w:szCs w:val="28"/>
        </w:rPr>
        <w:t>应提供现场或外出技术培训，保证</w:t>
      </w:r>
      <w:r>
        <w:rPr>
          <w:rFonts w:hint="eastAsia" w:asciiTheme="minorEastAsia" w:hAnsiTheme="minorEastAsia" w:eastAsiaTheme="minorEastAsia" w:cstheme="minorEastAsia"/>
          <w:kern w:val="0"/>
          <w:sz w:val="28"/>
          <w:szCs w:val="28"/>
          <w:lang w:eastAsia="zh-CN"/>
        </w:rPr>
        <w:t>招标人</w:t>
      </w:r>
      <w:r>
        <w:rPr>
          <w:rFonts w:hint="eastAsia" w:asciiTheme="minorEastAsia" w:hAnsiTheme="minorEastAsia" w:eastAsiaTheme="minorEastAsia" w:cstheme="minorEastAsia"/>
          <w:kern w:val="0"/>
          <w:sz w:val="28"/>
          <w:szCs w:val="28"/>
        </w:rPr>
        <w:t>使用人员正常操作设备的各种功能。</w:t>
      </w:r>
    </w:p>
    <w:bookmarkEnd w:id="2"/>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bidi w:val="0"/>
        <w:snapToGrid w:val="0"/>
        <w:spacing w:beforeAutospacing="0" w:afterAutospacing="0" w:line="360" w:lineRule="auto"/>
        <w:ind w:left="1961" w:leftChars="934" w:firstLine="295" w:firstLineChars="105"/>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部分投标文件的编制内容</w:t>
      </w:r>
    </w:p>
    <w:p>
      <w:pPr>
        <w:keepNext w:val="0"/>
        <w:keepLines w:val="0"/>
        <w:pageBreakBefore w:val="0"/>
        <w:numPr>
          <w:ilvl w:val="0"/>
          <w:numId w:val="13"/>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投标文件应按规定内容和格式编制，投标文件不按规定内容和格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式编制或有实质性的漏项，有可能造成无效投标。</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二、投标文件应包括以下内容，并按照以下顺序装订</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投标报价函；</w:t>
      </w:r>
      <w:r>
        <w:rPr>
          <w:rFonts w:hint="eastAsia" w:asciiTheme="minorEastAsia" w:hAnsiTheme="minorEastAsia" w:eastAsiaTheme="minorEastAsia" w:cstheme="minorEastAsia"/>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投标设备报价汇总表</w:t>
      </w:r>
      <w:r>
        <w:rPr>
          <w:rFonts w:hint="eastAsia" w:asciiTheme="minorEastAsia" w:hAnsiTheme="minorEastAsia" w:eastAsiaTheme="minorEastAsia" w:cstheme="minorEastAsia"/>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投标设备备品、备件及专用工具清单；</w:t>
      </w:r>
      <w:r>
        <w:rPr>
          <w:rFonts w:hint="eastAsia" w:asciiTheme="minorEastAsia" w:hAnsiTheme="minorEastAsia" w:eastAsiaTheme="minorEastAsia" w:cstheme="minorEastAsia"/>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投标报价中不包含的易损件报价表；</w:t>
      </w:r>
      <w:r>
        <w:rPr>
          <w:rFonts w:hint="eastAsia" w:asciiTheme="minorEastAsia" w:hAnsiTheme="minorEastAsia" w:eastAsiaTheme="minorEastAsia" w:cstheme="minorEastAsia"/>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eastAsia="zh-CN"/>
        </w:rPr>
        <w:t>身份</w:t>
      </w:r>
      <w:r>
        <w:rPr>
          <w:rFonts w:hint="eastAsia" w:asciiTheme="minorEastAsia" w:hAnsiTheme="minorEastAsia" w:eastAsiaTheme="minorEastAsia" w:cstheme="minorEastAsia"/>
          <w:sz w:val="28"/>
          <w:szCs w:val="28"/>
        </w:rPr>
        <w:t>证明</w:t>
      </w:r>
      <w:r>
        <w:rPr>
          <w:rFonts w:hint="eastAsia" w:asciiTheme="minorEastAsia" w:hAnsiTheme="minorEastAsia" w:eastAsiaTheme="minorEastAsia" w:cstheme="minorEastAsia"/>
          <w:sz w:val="28"/>
          <w:szCs w:val="28"/>
          <w:lang w:eastAsia="zh-CN"/>
        </w:rPr>
        <w:t>；附件（五）</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法定代表人的授权委托书；</w:t>
      </w:r>
      <w:r>
        <w:rPr>
          <w:rFonts w:hint="eastAsia" w:asciiTheme="minorEastAsia" w:hAnsiTheme="minorEastAsia" w:eastAsiaTheme="minorEastAsia" w:cstheme="minorEastAsia"/>
          <w:sz w:val="28"/>
          <w:szCs w:val="28"/>
          <w:lang w:eastAsia="zh-CN"/>
        </w:rPr>
        <w:t>附件（六）</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技术说明；</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安装施工方案；</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质量保证措施</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（十）</w:t>
      </w:r>
      <w:r>
        <w:rPr>
          <w:rFonts w:hint="eastAsia" w:asciiTheme="minorEastAsia" w:hAnsiTheme="minorEastAsia" w:eastAsiaTheme="minorEastAsia" w:cstheme="minorEastAsia"/>
          <w:sz w:val="28"/>
          <w:szCs w:val="28"/>
        </w:rPr>
        <w:t>投标技术偏离表；</w:t>
      </w:r>
      <w:r>
        <w:rPr>
          <w:rFonts w:hint="eastAsia" w:asciiTheme="minorEastAsia" w:hAnsiTheme="minorEastAsia" w:eastAsiaTheme="minorEastAsia" w:cstheme="minorEastAsia"/>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（十一）</w:t>
      </w:r>
      <w:r>
        <w:rPr>
          <w:rFonts w:hint="eastAsia" w:asciiTheme="minorEastAsia" w:hAnsiTheme="minorEastAsia" w:eastAsiaTheme="minorEastAsia" w:cstheme="minorEastAsia"/>
          <w:sz w:val="28"/>
          <w:szCs w:val="28"/>
        </w:rPr>
        <w:t>投标人资格证明文件（包括投标人的营业执照、生产许可证、</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经销授权证明及投标方认为与本次招标有关的证明等）；</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（十二）质保期承诺函；附件（八）</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（十三）</w:t>
      </w:r>
      <w:r>
        <w:rPr>
          <w:rFonts w:hint="eastAsia" w:asciiTheme="minorEastAsia" w:hAnsiTheme="minorEastAsia" w:eastAsiaTheme="minorEastAsia" w:cstheme="minorEastAsia"/>
          <w:sz w:val="28"/>
          <w:szCs w:val="28"/>
        </w:rPr>
        <w:t>售后服务承诺；</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（十四）</w:t>
      </w:r>
      <w:r>
        <w:rPr>
          <w:rFonts w:hint="eastAsia" w:asciiTheme="minorEastAsia" w:hAnsiTheme="minorEastAsia" w:eastAsiaTheme="minorEastAsia" w:cstheme="minorEastAsia"/>
          <w:sz w:val="28"/>
          <w:szCs w:val="28"/>
        </w:rPr>
        <w:t>投标人同类产品近</w:t>
      </w:r>
      <w:r>
        <w:rPr>
          <w:rFonts w:hint="eastAsia" w:asciiTheme="minorEastAsia" w:hAnsiTheme="minorEastAsia" w:eastAsiaTheme="minorEastAsia" w:cstheme="minorEastAsia"/>
          <w:sz w:val="28"/>
          <w:szCs w:val="28"/>
          <w:lang w:eastAsia="zh-CN"/>
        </w:rPr>
        <w:t>两</w:t>
      </w:r>
      <w:r>
        <w:rPr>
          <w:rFonts w:hint="eastAsia" w:asciiTheme="minorEastAsia" w:hAnsiTheme="minorEastAsia" w:eastAsiaTheme="minorEastAsia" w:cstheme="minorEastAsia"/>
          <w:sz w:val="28"/>
          <w:szCs w:val="28"/>
        </w:rPr>
        <w:t>年销售业绩；</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eastAsia="zh-CN"/>
        </w:rPr>
        <w:t>（十五）</w:t>
      </w:r>
      <w:r>
        <w:rPr>
          <w:rFonts w:hint="eastAsia" w:asciiTheme="minorEastAsia" w:hAnsiTheme="minorEastAsia" w:eastAsiaTheme="minorEastAsia" w:cstheme="minorEastAsia"/>
          <w:sz w:val="28"/>
          <w:szCs w:val="28"/>
        </w:rPr>
        <w:t>投标人认为需要表述的与本次招标有关的其它内容。</w:t>
      </w:r>
    </w:p>
    <w:p>
      <w:pPr>
        <w:keepNext w:val="0"/>
        <w:keepLines w:val="0"/>
        <w:pageBreakBefore w:val="0"/>
        <w:kinsoku/>
        <w:wordWrap/>
        <w:overflowPunct/>
        <w:topLinePunct w:val="0"/>
        <w:bidi w:val="0"/>
        <w:snapToGrid w:val="0"/>
        <w:spacing w:beforeAutospacing="0" w:afterAutospacing="0" w:line="360" w:lineRule="auto"/>
        <w:ind w:left="1961" w:leftChars="934" w:firstLine="573" w:firstLineChars="204"/>
        <w:jc w:val="left"/>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第四部分：合同的主要条款</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设备价格：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（一）设备价格执行乙方投标价格。</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投标价格包括</w:t>
      </w:r>
      <w:r>
        <w:rPr>
          <w:rFonts w:hint="eastAsia" w:ascii="华文仿宋" w:hAnsi="华文仿宋" w:cs="宋体"/>
          <w:color w:val="000000"/>
          <w:sz w:val="28"/>
          <w:szCs w:val="28"/>
        </w:rPr>
        <w:t>设备生产成本、搬运、安装、调试、验收等所有投入和收益</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税费</w:t>
      </w:r>
      <w:r>
        <w:rPr>
          <w:rFonts w:hint="eastAsia" w:ascii="华文仿宋" w:hAnsi="华文仿宋" w:cs="宋体"/>
          <w:color w:val="000000"/>
          <w:sz w:val="28"/>
          <w:szCs w:val="28"/>
          <w:lang w:eastAsia="zh-CN"/>
        </w:rPr>
        <w:t>及满足服务要求的相关</w:t>
      </w:r>
      <w:r>
        <w:rPr>
          <w:rFonts w:hint="eastAsia" w:ascii="华文仿宋" w:hAnsi="华文仿宋" w:cs="宋体"/>
          <w:color w:val="000000"/>
          <w:sz w:val="28"/>
          <w:szCs w:val="28"/>
        </w:rPr>
        <w:t>费用</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1、设备在合同规定的交货日期内到达交货地点后，在乙方负责人员和甲方采购主办部门、在场的情况下开箱确认设备的型号以及清点备品备件，核对装箱清单，确认合格的甲方采购主办部门和财务部门、经管部门应在验收单据上分别签字。</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jc w:val="left"/>
        <w:textAlignment w:val="auto"/>
        <w:rPr>
          <w:rFonts w:hint="eastAsia"/>
        </w:rPr>
      </w:pPr>
      <w:r>
        <w:rPr>
          <w:rFonts w:hint="eastAsia" w:ascii="宋体" w:hAnsi="宋体" w:cs="宋体"/>
          <w:color w:val="000000" w:themeColor="text1"/>
          <w:kern w:val="0"/>
          <w:sz w:val="28"/>
          <w:szCs w:val="28"/>
          <w:lang w:eastAsia="zh-CN"/>
          <w14:textFill>
            <w14:solidFill>
              <w14:schemeClr w14:val="tx1"/>
            </w14:solidFill>
          </w14:textFill>
        </w:rPr>
        <w:t>2、设备安装后，设备的各项性能指标均能达到招标文件的要求，双方即签署验收文件，设备被视为验收通过。</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r>
        <w:rPr>
          <w:rFonts w:hint="eastAsia" w:ascii="宋体" w:hAnsi="宋体" w:cs="宋体"/>
          <w:color w:val="000000" w:themeColor="text1"/>
          <w:kern w:val="0"/>
          <w:sz w:val="28"/>
          <w:szCs w:val="28"/>
          <w:lang w:eastAsia="zh-CN"/>
          <w14:textFill>
            <w14:solidFill>
              <w14:schemeClr w14:val="tx1"/>
            </w14:solidFill>
          </w14:textFill>
        </w:rPr>
        <w:t>甲方</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技术人员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安装、调试，并承担因此发生的一</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切费用。</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、设备款的</w:t>
      </w:r>
      <w:r>
        <w:rPr>
          <w:rFonts w:hint="eastAsia" w:asciiTheme="minorEastAsia" w:hAnsiTheme="minorEastAsia" w:eastAsiaTheme="minorEastAsia" w:cstheme="minorEastAsia"/>
          <w:sz w:val="28"/>
          <w:szCs w:val="28"/>
          <w:lang w:eastAsia="zh-CN"/>
        </w:rPr>
        <w:t>结算与</w:t>
      </w:r>
      <w:r>
        <w:rPr>
          <w:rFonts w:hint="eastAsia" w:asciiTheme="minorEastAsia" w:hAnsiTheme="minorEastAsia" w:eastAsiaTheme="minorEastAsia" w:cstheme="minorEastAsia"/>
          <w:sz w:val="28"/>
          <w:szCs w:val="28"/>
        </w:rPr>
        <w:t>支付</w:t>
      </w:r>
    </w:p>
    <w:p>
      <w:pPr>
        <w:keepNext w:val="0"/>
        <w:keepLines w:val="0"/>
        <w:pageBreakBefore w:val="0"/>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（一）结算</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rPr>
        <w:t>无预付款。</w:t>
      </w: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据为依据进行结算。</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snapToGrid w:val="0"/>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（四）</w:t>
      </w:r>
      <w:r>
        <w:rPr>
          <w:rFonts w:hint="eastAsia" w:asciiTheme="minorEastAsia" w:hAnsiTheme="minorEastAsia" w:eastAsiaTheme="minorEastAsia" w:cstheme="minorEastAsia"/>
          <w:b w:val="0"/>
          <w:bCs w:val="0"/>
          <w:sz w:val="28"/>
          <w:szCs w:val="28"/>
          <w:lang w:eastAsia="zh-CN"/>
        </w:rPr>
        <w:t>乙</w:t>
      </w:r>
      <w:r>
        <w:rPr>
          <w:rFonts w:hint="eastAsia" w:asciiTheme="minorEastAsia" w:hAnsiTheme="minorEastAsia" w:eastAsiaTheme="minorEastAsia" w:cstheme="minorEastAsia"/>
          <w:b w:val="0"/>
          <w:bCs w:val="0"/>
          <w:sz w:val="28"/>
          <w:szCs w:val="28"/>
        </w:rPr>
        <w:t>方提供增值税专用发</w:t>
      </w:r>
      <w:r>
        <w:rPr>
          <w:rFonts w:hint="eastAsia" w:asciiTheme="minorEastAsia" w:hAnsiTheme="minorEastAsia" w:eastAsiaTheme="minorEastAsia" w:cstheme="minorEastAsia"/>
          <w:b w:val="0"/>
          <w:bCs w:val="0"/>
          <w:color w:val="auto"/>
          <w:sz w:val="28"/>
          <w:szCs w:val="28"/>
        </w:rPr>
        <w:t>票</w:t>
      </w:r>
      <w:r>
        <w:rPr>
          <w:rFonts w:hint="eastAsia" w:asciiTheme="minorEastAsia" w:hAnsiTheme="minorEastAsia" w:eastAsiaTheme="minorEastAsia" w:cstheme="minorEastAsia"/>
          <w:b w:val="0"/>
          <w:bCs w:val="0"/>
          <w:color w:val="auto"/>
          <w:sz w:val="28"/>
          <w:szCs w:val="28"/>
          <w:lang w:val="en-US" w:eastAsia="zh-CN"/>
        </w:rPr>
        <w:t>(13%）</w:t>
      </w:r>
      <w:r>
        <w:rPr>
          <w:rFonts w:hint="eastAsia" w:asciiTheme="minorEastAsia" w:hAnsiTheme="minorEastAsia" w:eastAsiaTheme="minorEastAsia" w:cstheme="minorEastAsia"/>
          <w:b w:val="0"/>
          <w:bCs w:val="0"/>
          <w:color w:val="auto"/>
          <w:sz w:val="28"/>
          <w:szCs w:val="28"/>
        </w:rPr>
        <w:t>。</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（一）乙方应于接到中标通知书后的5日内向甲方指定账户打入成交</w:t>
      </w:r>
    </w:p>
    <w:p>
      <w:pPr>
        <w:snapToGrid w:val="0"/>
        <w:spacing w:line="360" w:lineRule="auto"/>
        <w:jc w:val="left"/>
        <w:rPr>
          <w:rFonts w:hint="eastAsia" w:cs="宋体"/>
          <w:sz w:val="28"/>
          <w:szCs w:val="28"/>
          <w:lang w:val="en-US" w:eastAsia="zh-CN"/>
        </w:rPr>
      </w:pPr>
      <w:r>
        <w:rPr>
          <w:rFonts w:hint="eastAsia" w:cs="宋体"/>
          <w:sz w:val="28"/>
          <w:szCs w:val="28"/>
          <w:lang w:val="en-US" w:eastAsia="zh-CN"/>
        </w:rPr>
        <w:t>金额10%的履约保证金。</w:t>
      </w:r>
    </w:p>
    <w:p>
      <w:pPr>
        <w:snapToGrid w:val="0"/>
        <w:spacing w:line="360" w:lineRule="auto"/>
        <w:jc w:val="left"/>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设备质保期</w:t>
      </w:r>
      <w:r>
        <w:rPr>
          <w:rFonts w:hint="eastAsia" w:cs="宋体"/>
          <w:sz w:val="28"/>
          <w:szCs w:val="28"/>
        </w:rPr>
        <w:t>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snapToGrid w:val="0"/>
        <w:spacing w:line="360" w:lineRule="auto"/>
        <w:jc w:val="left"/>
        <w:rPr>
          <w:rFonts w:hint="eastAsia" w:ascii="宋体" w:hAnsi="宋体" w:cs="宋体"/>
          <w:sz w:val="28"/>
          <w:szCs w:val="28"/>
        </w:rPr>
      </w:pPr>
      <w:r>
        <w:rPr>
          <w:rFonts w:hint="eastAsia" w:ascii="宋体" w:hAnsi="宋体" w:cs="宋体"/>
          <w:sz w:val="28"/>
          <w:szCs w:val="28"/>
          <w:lang w:eastAsia="zh-CN"/>
        </w:rPr>
        <w:t>五</w:t>
      </w:r>
      <w:r>
        <w:rPr>
          <w:rFonts w:hint="eastAsia" w:ascii="宋体" w:hAnsi="宋体" w:cs="宋体"/>
          <w:sz w:val="28"/>
          <w:szCs w:val="28"/>
        </w:rPr>
        <w:t>、质保期：质保期执行投标人投标承诺</w:t>
      </w:r>
      <w:r>
        <w:rPr>
          <w:rFonts w:hint="eastAsia" w:ascii="宋体" w:hAnsi="宋体" w:cs="宋体"/>
          <w:sz w:val="28"/>
          <w:szCs w:val="28"/>
          <w:lang w:eastAsia="zh-CN"/>
        </w:rPr>
        <w:t>期限</w:t>
      </w:r>
      <w:r>
        <w:rPr>
          <w:rFonts w:hint="eastAsia" w:ascii="宋体" w:hAnsi="宋体" w:cs="宋体"/>
          <w:sz w:val="28"/>
          <w:szCs w:val="28"/>
        </w:rPr>
        <w:t>，质保期内，</w:t>
      </w:r>
      <w:r>
        <w:rPr>
          <w:rFonts w:hint="eastAsia" w:ascii="宋体" w:hAnsi="宋体" w:cs="宋体"/>
          <w:sz w:val="28"/>
          <w:szCs w:val="28"/>
          <w:lang w:eastAsia="zh-CN"/>
        </w:rPr>
        <w:t>乙方</w:t>
      </w:r>
      <w:r>
        <w:rPr>
          <w:rFonts w:hint="eastAsia" w:ascii="宋体" w:hAnsi="宋体" w:cs="宋体"/>
          <w:sz w:val="28"/>
          <w:szCs w:val="28"/>
        </w:rPr>
        <w:t>对设</w:t>
      </w:r>
    </w:p>
    <w:p>
      <w:pPr>
        <w:snapToGrid w:val="0"/>
        <w:spacing w:line="360" w:lineRule="auto"/>
        <w:jc w:val="left"/>
        <w:rPr>
          <w:rFonts w:hint="eastAsia" w:ascii="宋体" w:hAnsi="宋体" w:cs="宋体"/>
          <w:sz w:val="28"/>
          <w:szCs w:val="28"/>
        </w:rPr>
      </w:pPr>
      <w:r>
        <w:rPr>
          <w:rFonts w:hint="eastAsia" w:ascii="宋体" w:hAnsi="宋体" w:cs="宋体"/>
          <w:sz w:val="28"/>
          <w:szCs w:val="28"/>
        </w:rPr>
        <w:t>备</w:t>
      </w:r>
      <w:r>
        <w:rPr>
          <w:rFonts w:hint="eastAsia" w:ascii="宋体" w:hAnsi="宋体" w:cs="宋体"/>
          <w:sz w:val="28"/>
          <w:szCs w:val="28"/>
          <w:lang w:eastAsia="zh-CN"/>
        </w:rPr>
        <w:t>整机</w:t>
      </w:r>
      <w:r>
        <w:rPr>
          <w:rFonts w:hint="eastAsia" w:ascii="宋体" w:hAnsi="宋体" w:cs="宋体"/>
          <w:sz w:val="28"/>
          <w:szCs w:val="28"/>
        </w:rPr>
        <w:t>免费包修。</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外的维修只收取材料费。</w:t>
      </w:r>
    </w:p>
    <w:p>
      <w:pPr>
        <w:snapToGrid w:val="0"/>
        <w:spacing w:line="360" w:lineRule="auto"/>
        <w:jc w:val="left"/>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default"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响应，</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24</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r>
        <w:rPr>
          <w:rFonts w:hint="eastAsia" w:ascii="宋体" w:hAnsi="宋体" w:cs="宋体"/>
          <w:sz w:val="28"/>
          <w:szCs w:val="28"/>
          <w:lang w:eastAsia="zh-CN"/>
        </w:rPr>
        <w:t>直至解决运行故障</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keepNext w:val="0"/>
        <w:keepLines w:val="0"/>
        <w:pageBreakBefore w:val="0"/>
        <w:widowControl/>
        <w:numPr>
          <w:ilvl w:val="0"/>
          <w:numId w:val="14"/>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自验收合格之日起 15 天内出现非人为原因的故障致使设备</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无法正常使用，乙方无条件退换，乙方保证退换设备与先前设备同一品质。</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w:t>
      </w:r>
    </w:p>
    <w:p>
      <w:pPr>
        <w:keepNext w:val="0"/>
        <w:keepLines w:val="0"/>
        <w:pageBreakBefore w:val="0"/>
        <w:widowControl/>
        <w:numPr>
          <w:ilvl w:val="0"/>
          <w:numId w:val="0"/>
        </w:numPr>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r>
        <w:rPr>
          <w:rFonts w:hint="eastAsia" w:ascii="华文仿宋" w:hAnsi="华文仿宋" w:cs="宋体"/>
          <w:color w:val="000000" w:themeColor="text1"/>
          <w:sz w:val="28"/>
          <w:szCs w:val="28"/>
          <w14:textFill>
            <w14:solidFill>
              <w14:schemeClr w14:val="tx1"/>
            </w14:solidFill>
          </w14:textFill>
        </w:rPr>
        <w:t>（按全年365天计算）</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w:t>
      </w:r>
    </w:p>
    <w:p>
      <w:p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sz w:val="28"/>
          <w:szCs w:val="28"/>
          <w:lang w:eastAsia="zh-CN"/>
        </w:rPr>
        <w:t>（一）乙方</w:t>
      </w:r>
      <w:r>
        <w:rPr>
          <w:rFonts w:hint="eastAsia" w:ascii="宋体" w:hAnsi="宋体" w:cs="宋体"/>
          <w:sz w:val="28"/>
          <w:szCs w:val="28"/>
        </w:rPr>
        <w:t>须按期交货</w:t>
      </w:r>
      <w:r>
        <w:rPr>
          <w:rFonts w:hint="eastAsia" w:ascii="宋体" w:hAnsi="宋体" w:cs="宋体"/>
          <w:sz w:val="28"/>
          <w:szCs w:val="28"/>
          <w:lang w:eastAsia="zh-CN"/>
        </w:rPr>
        <w:t>。</w:t>
      </w:r>
      <w:r>
        <w:rPr>
          <w:rFonts w:hint="eastAsia" w:ascii="宋体" w:hAnsi="宋体" w:cs="宋体"/>
          <w:sz w:val="28"/>
          <w:szCs w:val="28"/>
        </w:rPr>
        <w:t>每拖延一天，按</w:t>
      </w:r>
      <w:r>
        <w:rPr>
          <w:rFonts w:hint="eastAsia" w:ascii="宋体" w:hAnsi="宋体" w:cs="宋体"/>
          <w:sz w:val="28"/>
          <w:szCs w:val="28"/>
          <w:lang w:eastAsia="zh-CN"/>
        </w:rPr>
        <w:t>合同总价款的日千分之二</w:t>
      </w:r>
      <w:r>
        <w:rPr>
          <w:rFonts w:hint="eastAsia" w:ascii="宋体" w:hAnsi="宋体" w:cs="宋体"/>
          <w:color w:val="000000" w:themeColor="text1"/>
          <w:sz w:val="28"/>
          <w:szCs w:val="28"/>
          <w14:textFill>
            <w14:solidFill>
              <w14:schemeClr w14:val="tx1"/>
            </w14:solidFill>
          </w14:textFill>
        </w:rPr>
        <w:t>交</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color w:val="000000" w:themeColor="text1"/>
          <w:sz w:val="28"/>
          <w:szCs w:val="28"/>
          <w14:textFill>
            <w14:solidFill>
              <w14:schemeClr w14:val="tx1"/>
            </w14:solidFill>
          </w14:textFill>
        </w:rPr>
        <w:t>纳违约金</w:t>
      </w:r>
      <w:r>
        <w:rPr>
          <w:rFonts w:hint="eastAsia" w:ascii="宋体" w:hAnsi="宋体" w:cs="宋体"/>
          <w:color w:val="000000" w:themeColor="text1"/>
          <w:sz w:val="28"/>
          <w:szCs w:val="28"/>
          <w:lang w:eastAsia="zh-CN"/>
          <w14:textFill>
            <w14:solidFill>
              <w14:schemeClr w14:val="tx1"/>
            </w14:solidFill>
          </w14:textFill>
        </w:rPr>
        <w:t>，从履约保证金中扣除。</w:t>
      </w:r>
      <w:r>
        <w:rPr>
          <w:rFonts w:hint="eastAsia" w:ascii="宋体" w:hAnsi="宋体" w:cs="宋体"/>
          <w:color w:val="000000" w:themeColor="text1"/>
          <w:sz w:val="28"/>
          <w:szCs w:val="28"/>
          <w14:textFill>
            <w14:solidFill>
              <w14:schemeClr w14:val="tx1"/>
            </w14:solidFill>
          </w14:textFill>
        </w:rPr>
        <w:t>当违约金达到合同</w:t>
      </w:r>
      <w:r>
        <w:rPr>
          <w:rFonts w:hint="eastAsia" w:ascii="宋体" w:hAnsi="宋体" w:cs="宋体"/>
          <w:color w:val="000000" w:themeColor="text1"/>
          <w:sz w:val="28"/>
          <w:szCs w:val="28"/>
          <w:lang w:eastAsia="zh-CN"/>
          <w14:textFill>
            <w14:solidFill>
              <w14:schemeClr w14:val="tx1"/>
            </w14:solidFill>
          </w14:textFill>
        </w:rPr>
        <w:t>总价</w:t>
      </w:r>
      <w:r>
        <w:rPr>
          <w:rFonts w:hint="eastAsia" w:ascii="宋体" w:hAnsi="宋体" w:cs="宋体"/>
          <w:color w:val="000000" w:themeColor="text1"/>
          <w:sz w:val="28"/>
          <w:szCs w:val="28"/>
          <w14:textFill>
            <w14:solidFill>
              <w14:schemeClr w14:val="tx1"/>
            </w14:solidFill>
          </w14:textFill>
        </w:rPr>
        <w:t>款的</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％时</w:t>
      </w:r>
      <w:r>
        <w:rPr>
          <w:rFonts w:hint="eastAsia" w:ascii="宋体" w:hAnsi="宋体" w:cs="宋体"/>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rPr>
      </w:pPr>
      <w:r>
        <w:rPr>
          <w:rFonts w:hint="eastAsia" w:ascii="宋体" w:hAnsi="宋体" w:cs="宋体"/>
          <w:sz w:val="28"/>
          <w:szCs w:val="28"/>
          <w:lang w:eastAsia="zh-CN"/>
        </w:rPr>
        <w:t>甲</w:t>
      </w:r>
      <w:r>
        <w:rPr>
          <w:rFonts w:hint="eastAsia" w:ascii="宋体" w:hAnsi="宋体" w:cs="宋体"/>
          <w:sz w:val="28"/>
          <w:szCs w:val="28"/>
        </w:rPr>
        <w:t>方有权终止合同，另选供货单位。</w:t>
      </w:r>
    </w:p>
    <w:p>
      <w:pPr>
        <w:keepNext w:val="0"/>
        <w:keepLines w:val="0"/>
        <w:pageBreakBefore w:val="0"/>
        <w:widowControl w:val="0"/>
        <w:numPr>
          <w:ilvl w:val="0"/>
          <w:numId w:val="15"/>
        </w:numPr>
        <w:kinsoku/>
        <w:wordWrap/>
        <w:overflowPunct/>
        <w:topLinePunct w:val="0"/>
        <w:autoSpaceDE/>
        <w:autoSpaceDN/>
        <w:bidi w:val="0"/>
        <w:adjustRightInd/>
        <w:snapToGrid w:val="0"/>
        <w:spacing w:line="360" w:lineRule="auto"/>
        <w:jc w:val="left"/>
        <w:textAlignment w:val="auto"/>
        <w:rPr>
          <w:rFonts w:hint="eastAsia" w:ascii="宋体" w:hAnsi="宋体" w:cs="宋体"/>
          <w:sz w:val="28"/>
          <w:szCs w:val="28"/>
          <w:lang w:eastAsia="zh-CN"/>
        </w:rPr>
      </w:pPr>
      <w:r>
        <w:rPr>
          <w:rFonts w:hint="eastAsia" w:ascii="宋体" w:hAnsi="宋体" w:cs="宋体"/>
          <w:sz w:val="28"/>
          <w:szCs w:val="28"/>
          <w:lang w:eastAsia="zh-CN"/>
        </w:rPr>
        <w:t>若乙方不能及时提供售后服务，</w:t>
      </w:r>
      <w:r>
        <w:rPr>
          <w:rFonts w:hint="eastAsia" w:ascii="华文仿宋" w:hAnsi="华文仿宋" w:cs="宋体"/>
          <w:color w:val="000000" w:themeColor="text1"/>
          <w:sz w:val="28"/>
          <w:szCs w:val="28"/>
          <w14:textFill>
            <w14:solidFill>
              <w14:schemeClr w14:val="tx1"/>
            </w14:solidFill>
          </w14:textFill>
        </w:rPr>
        <w:t>每逾期一次，保修期限延长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30天。因乙方不能及时提供服务，甲方有权安排第三方进行处理，费用从履约保证金中扣除，大于履约保证金的甲方有权向乙方追偿。</w:t>
      </w:r>
    </w:p>
    <w:p>
      <w:pPr>
        <w:pStyle w:val="14"/>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三</w:t>
      </w:r>
      <w:r>
        <w:rPr>
          <w:rFonts w:hint="eastAsia" w:ascii="华文仿宋" w:hAnsi="华文仿宋" w:cs="宋体"/>
          <w:color w:val="000000" w:themeColor="text1"/>
          <w:sz w:val="28"/>
          <w:szCs w:val="28"/>
          <w14:textFill>
            <w14:solidFill>
              <w14:schemeClr w14:val="tx1"/>
            </w14:solidFill>
          </w14:textFill>
        </w:rPr>
        <w:t>）设备全年开机率要求大于95％以上（按全年365天计算），乙方</w:t>
      </w:r>
      <w:r>
        <w:rPr>
          <w:rFonts w:hint="eastAsia" w:ascii="华文仿宋" w:hAnsi="华文仿宋" w:cs="宋体"/>
          <w:color w:val="000000" w:themeColor="text1"/>
          <w:sz w:val="28"/>
          <w:szCs w:val="28"/>
          <w:lang w:eastAsia="zh-CN"/>
          <w14:textFill>
            <w14:solidFill>
              <w14:schemeClr w14:val="tx1"/>
            </w14:solidFill>
          </w14:textFill>
        </w:rPr>
        <w:t>提供</w:t>
      </w:r>
      <w:r>
        <w:rPr>
          <w:rFonts w:hint="eastAsia" w:ascii="华文仿宋" w:hAnsi="华文仿宋" w:cs="宋体"/>
          <w:color w:val="000000" w:themeColor="text1"/>
          <w:sz w:val="28"/>
          <w:szCs w:val="28"/>
          <w14:textFill>
            <w14:solidFill>
              <w14:schemeClr w14:val="tx1"/>
            </w14:solidFill>
          </w14:textFill>
        </w:rPr>
        <w:t>的设备不能达到上述约定，停机时间每超过1天，保修期顺延3天。</w:t>
      </w:r>
      <w:r>
        <w:rPr>
          <w:rFonts w:hint="eastAsia" w:ascii="华文仿宋" w:hAnsi="华文仿宋" w:cs="宋体"/>
          <w:color w:val="000000" w:themeColor="text1"/>
          <w:sz w:val="28"/>
          <w:szCs w:val="28"/>
          <w:lang w:eastAsia="zh-CN"/>
          <w14:textFill>
            <w14:solidFill>
              <w14:schemeClr w14:val="tx1"/>
            </w14:solidFill>
          </w14:textFill>
        </w:rPr>
        <w:t>因售后服务和设备开机率低导致的保修期延长时间，两者可以累加。</w:t>
      </w:r>
    </w:p>
    <w:p>
      <w:pPr>
        <w:pStyle w:val="14"/>
        <w:snapToGrid w:val="0"/>
        <w:spacing w:line="360" w:lineRule="auto"/>
        <w:ind w:left="0" w:leftChars="0" w:firstLine="0" w:firstLineChars="0"/>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eastAsia="zh-CN"/>
          <w14:textFill>
            <w14:solidFill>
              <w14:schemeClr w14:val="tx1"/>
            </w14:solidFill>
          </w14:textFill>
        </w:rPr>
        <w:t>四</w:t>
      </w:r>
      <w:r>
        <w:rPr>
          <w:rFonts w:hint="eastAsia" w:ascii="华文仿宋" w:hAnsi="华文仿宋" w:cs="宋体"/>
          <w:color w:val="000000" w:themeColor="text1"/>
          <w:sz w:val="28"/>
          <w:szCs w:val="28"/>
          <w14:textFill>
            <w14:solidFill>
              <w14:schemeClr w14:val="tx1"/>
            </w14:solidFill>
          </w14:textFill>
        </w:rPr>
        <w:t>）乙方提供设备为非全新设备，甲方拒付所有款项，履约保证金不予退还。因非全新设备给甲方造成损失由乙方承担。</w:t>
      </w:r>
    </w:p>
    <w:p>
      <w:pPr>
        <w:snapToGrid w:val="0"/>
        <w:spacing w:line="360" w:lineRule="auto"/>
        <w:jc w:val="left"/>
        <w:rPr>
          <w:rFonts w:ascii="华文仿宋" w:eastAsia="华文仿宋" w:cs="宋体"/>
          <w:color w:val="000000"/>
          <w:sz w:val="30"/>
          <w:szCs w:val="30"/>
        </w:rPr>
      </w:pPr>
      <w:r>
        <w:rPr>
          <w:rFonts w:hint="eastAsia" w:ascii="华文仿宋" w:hAnsi="华文仿宋" w:cs="宋体"/>
          <w:color w:val="000000"/>
          <w:sz w:val="30"/>
          <w:szCs w:val="30"/>
          <w:lang w:eastAsia="zh-CN"/>
        </w:rPr>
        <w:t>八</w:t>
      </w:r>
      <w:r>
        <w:rPr>
          <w:rFonts w:hint="eastAsia" w:ascii="华文仿宋" w:hAnsi="华文仿宋" w:cs="宋体"/>
          <w:color w:val="000000"/>
          <w:sz w:val="30"/>
          <w:szCs w:val="30"/>
        </w:rPr>
        <w:t>、解决纠纷方式</w:t>
      </w:r>
    </w:p>
    <w:p>
      <w:pPr>
        <w:pStyle w:val="14"/>
        <w:snapToGrid w:val="0"/>
        <w:spacing w:line="360" w:lineRule="auto"/>
        <w:ind w:left="0" w:leftChars="0" w:firstLine="0" w:firstLineChars="0"/>
        <w:jc w:val="left"/>
        <w:rPr>
          <w:rFonts w:hint="eastAsia" w:ascii="华文仿宋" w:hAnsi="华文仿宋" w:cs="宋体"/>
          <w:color w:val="000000" w:themeColor="text1"/>
          <w:sz w:val="28"/>
          <w:szCs w:val="28"/>
          <w:lang w:eastAsia="zh-CN"/>
          <w14:textFill>
            <w14:solidFill>
              <w14:schemeClr w14:val="tx1"/>
            </w14:solidFill>
          </w14:textFill>
        </w:rPr>
      </w:pPr>
      <w:r>
        <w:rPr>
          <w:rFonts w:hint="eastAsia" w:ascii="华文仿宋" w:hAnsi="华文仿宋" w:cs="宋体"/>
          <w:color w:val="000000"/>
          <w:sz w:val="28"/>
          <w:szCs w:val="28"/>
        </w:rPr>
        <w:t>双方约定，本合同在履行过程中发生的争议，由双方当事人协商解决，协商不成的依法向甲方所在地人民法院提起诉讼。</w:t>
      </w:r>
    </w:p>
    <w:p>
      <w:pPr>
        <w:keepNext w:val="0"/>
        <w:keepLines w:val="0"/>
        <w:pageBreakBefore w:val="0"/>
        <w:kinsoku/>
        <w:wordWrap/>
        <w:overflowPunct/>
        <w:topLinePunct w:val="0"/>
        <w:bidi w:val="0"/>
        <w:snapToGrid w:val="0"/>
        <w:spacing w:beforeAutospacing="0" w:afterAutospacing="0" w:line="240" w:lineRule="auto"/>
        <w:ind w:left="0" w:leftChars="0" w:firstLine="3092" w:firstLineChars="1100"/>
        <w:jc w:val="both"/>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第五部分：评标办法</w:t>
      </w:r>
    </w:p>
    <w:p>
      <w:pPr>
        <w:numPr>
          <w:ilvl w:val="0"/>
          <w:numId w:val="0"/>
        </w:num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招标人组建评标委员会，评标委员会按照评标办法的规定进行评</w:t>
      </w:r>
    </w:p>
    <w:p>
      <w:pPr>
        <w:numPr>
          <w:ilvl w:val="0"/>
          <w:numId w:val="0"/>
        </w:numPr>
        <w:snapToGrid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（一）开标</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1、招标人按规定的时间和地点公开开标，并邀请所有投标人代表参</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加。投标人法定代表人或被授权代理人必须参加开标会议，法定代表</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人或被授权代理人出示法人身份证明书或法人授权委托书及有效身</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份证明的原件(格式参照招标文件提供的格式)，以便开标会议上证明</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其身份。以上证件不能出示或不符合要求的，其投标文件将被拒收。</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投标单位参加开标的法定代表人或授权代理人，必须在规定的投</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标文件递交截止时间前到达现场签到,否则将拒收投标文件。</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投标企业提供的以上材料须真实可靠，如有弄虚作假，一经发现查实，将不予退还投标保证金，取消投（中）标资格，并在发布招标文件的网站上公示。</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4、开标由招标方项目负责人主持，并按规定的程序进行：</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5、下列情况之一者招标方拒收投标文件：</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5.1投标文件未按招标文件要求密封；</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5.2投标文件送交时间已超过招标文件规定的投标截止时间；</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（二）评标</w:t>
      </w:r>
    </w:p>
    <w:p>
      <w:pPr>
        <w:pStyle w:val="9"/>
        <w:snapToGrid w:val="0"/>
        <w:spacing w:line="360" w:lineRule="auto"/>
        <w:jc w:val="left"/>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1、评标工作由招标单位依法组建的评标委员会负责，评标委员会</w:t>
      </w:r>
      <w:r>
        <w:rPr>
          <w:rFonts w:hint="eastAsia" w:ascii="宋体" w:hAnsi="宋体" w:cs="宋体"/>
          <w:kern w:val="2"/>
          <w:sz w:val="28"/>
          <w:szCs w:val="28"/>
          <w:lang w:val="en-US" w:eastAsia="zh-CN" w:bidi="ar-SA"/>
        </w:rPr>
        <w:t>成</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员</w:t>
      </w:r>
      <w:r>
        <w:rPr>
          <w:rFonts w:hint="eastAsia" w:ascii="宋体" w:hAnsi="宋体" w:eastAsia="宋体" w:cs="宋体"/>
          <w:kern w:val="2"/>
          <w:sz w:val="28"/>
          <w:szCs w:val="28"/>
          <w:lang w:val="en-US" w:eastAsia="zh-CN" w:bidi="ar-SA"/>
        </w:rPr>
        <w:t>随机选取，评委会推举一名组长。招标人招标管理人员和纪律检查</w:t>
      </w:r>
    </w:p>
    <w:p>
      <w:pPr>
        <w:pStyle w:val="9"/>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宋体" w:hAnsi="宋体" w:eastAsia="宋体" w:cs="宋体"/>
          <w:kern w:val="2"/>
          <w:sz w:val="28"/>
          <w:szCs w:val="28"/>
          <w:lang w:val="en-US" w:eastAsia="zh-CN" w:bidi="ar-SA"/>
        </w:rPr>
        <w:t>人员全程监督。</w:t>
      </w:r>
      <w:r>
        <w:rPr>
          <w:rFonts w:hint="eastAsia" w:ascii="华文仿宋" w:hAnsi="华文仿宋" w:cs="宋体"/>
          <w:color w:val="000000" w:themeColor="text1"/>
          <w:sz w:val="28"/>
          <w:szCs w:val="28"/>
          <w14:textFill>
            <w14:solidFill>
              <w14:schemeClr w14:val="tx1"/>
            </w14:solidFill>
          </w14:textFill>
        </w:rPr>
        <w:t>评标委员会对招标文件理解出现偏差或遗漏时，招标</w:t>
      </w:r>
    </w:p>
    <w:p>
      <w:pPr>
        <w:pStyle w:val="9"/>
        <w:snapToGrid w:val="0"/>
        <w:spacing w:line="360" w:lineRule="auto"/>
        <w:jc w:val="left"/>
        <w:rPr>
          <w:rFonts w:hint="eastAsia" w:ascii="宋体" w:hAnsi="宋体" w:eastAsia="宋体" w:cs="宋体"/>
          <w:kern w:val="2"/>
          <w:sz w:val="28"/>
          <w:szCs w:val="28"/>
          <w:lang w:val="en-US" w:eastAsia="zh-CN" w:bidi="ar-SA"/>
        </w:rPr>
      </w:pPr>
      <w:r>
        <w:rPr>
          <w:rFonts w:hint="eastAsia" w:ascii="华文仿宋" w:hAnsi="华文仿宋" w:cs="宋体"/>
          <w:color w:val="000000" w:themeColor="text1"/>
          <w:sz w:val="28"/>
          <w:szCs w:val="28"/>
          <w14:textFill>
            <w14:solidFill>
              <w14:schemeClr w14:val="tx1"/>
            </w14:solidFill>
          </w14:textFill>
        </w:rPr>
        <w:t>管理人员提醒和督促纠正，纪律检查人员负责评标工作秩序的维持。</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评标委员会首先审查投标人资格文件，资格审查合格后，对具备</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实质上响应的投标文件进行评估和比较。</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3、</w:t>
      </w:r>
      <w:r>
        <w:rPr>
          <w:rFonts w:hint="eastAsia" w:ascii="宋体" w:hAnsi="宋体" w:eastAsia="宋体" w:cs="宋体"/>
          <w:kern w:val="2"/>
          <w:sz w:val="28"/>
          <w:szCs w:val="28"/>
          <w:lang w:val="en-US" w:eastAsia="zh-CN" w:bidi="ar-SA"/>
        </w:rPr>
        <w:t>投标人不得企图向评委及招标方代表施加任何影响，否则将会导致投标作废。</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4、</w:t>
      </w:r>
      <w:r>
        <w:rPr>
          <w:rFonts w:hint="eastAsia" w:ascii="宋体" w:hAnsi="宋体" w:eastAsia="宋体" w:cs="宋体"/>
          <w:kern w:val="2"/>
          <w:sz w:val="28"/>
          <w:szCs w:val="28"/>
          <w:lang w:val="en-US" w:eastAsia="zh-CN" w:bidi="ar-SA"/>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9"/>
        <w:numPr>
          <w:ilvl w:val="0"/>
          <w:numId w:val="0"/>
        </w:numPr>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评标委员会将拒绝被确定为非实质性响应的投标，投标人不能通过修正或撤销不符之处而使其投标成为实质性响应的投标。</w:t>
      </w:r>
    </w:p>
    <w:p>
      <w:pPr>
        <w:snapToGrid w:val="0"/>
        <w:spacing w:line="360" w:lineRule="auto"/>
        <w:jc w:val="left"/>
        <w:rPr>
          <w:rFonts w:ascii="华文仿宋" w:eastAsia="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w:t>
      </w:r>
      <w:r>
        <w:rPr>
          <w:rFonts w:ascii="华文仿宋" w:hAnsi="华文仿宋" w:cs="宋体"/>
          <w:color w:val="000000" w:themeColor="text1"/>
          <w:sz w:val="28"/>
          <w:szCs w:val="28"/>
          <w14:textFill>
            <w14:solidFill>
              <w14:schemeClr w14:val="tx1"/>
            </w14:solidFill>
          </w14:textFill>
        </w:rPr>
        <w:t>.</w:t>
      </w:r>
      <w:r>
        <w:rPr>
          <w:rFonts w:hint="eastAsia" w:ascii="华文仿宋" w:hAnsi="华文仿宋" w:cs="宋体"/>
          <w:color w:val="000000" w:themeColor="text1"/>
          <w:sz w:val="28"/>
          <w:szCs w:val="28"/>
          <w:lang w:val="en-US" w:eastAsia="zh-CN"/>
          <w14:textFill>
            <w14:solidFill>
              <w14:schemeClr w14:val="tx1"/>
            </w14:solidFill>
          </w14:textFill>
        </w:rPr>
        <w:t>1</w:t>
      </w:r>
      <w:r>
        <w:rPr>
          <w:rFonts w:hint="eastAsia" w:ascii="华文仿宋" w:hAnsi="华文仿宋" w:cs="宋体"/>
          <w:color w:val="000000" w:themeColor="text1"/>
          <w:sz w:val="28"/>
          <w:szCs w:val="28"/>
          <w14:textFill>
            <w14:solidFill>
              <w14:schemeClr w14:val="tx1"/>
            </w14:solidFill>
          </w14:textFill>
        </w:rPr>
        <w:t>评标采用保密方式进行。</w:t>
      </w:r>
    </w:p>
    <w:p>
      <w:pPr>
        <w:pStyle w:val="9"/>
        <w:numPr>
          <w:ilvl w:val="0"/>
          <w:numId w:val="0"/>
        </w:numPr>
        <w:snapToGrid w:val="0"/>
        <w:spacing w:line="360" w:lineRule="auto"/>
        <w:jc w:val="left"/>
        <w:rPr>
          <w:rFonts w:hint="eastAsia" w:ascii="华文仿宋" w:hAnsi="华文仿宋" w:eastAsia="宋体" w:cs="宋体"/>
          <w:color w:val="000000" w:themeColor="text1"/>
          <w:sz w:val="28"/>
          <w:szCs w:val="28"/>
          <w:lang w:eastAsia="zh-CN"/>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5.2</w:t>
      </w:r>
      <w:r>
        <w:rPr>
          <w:rFonts w:hint="eastAsia" w:ascii="华文仿宋" w:hAnsi="华文仿宋" w:cs="宋体"/>
          <w:color w:val="000000" w:themeColor="text1"/>
          <w:sz w:val="28"/>
          <w:szCs w:val="28"/>
          <w14:textFill>
            <w14:solidFill>
              <w14:schemeClr w14:val="tx1"/>
            </w14:solidFill>
          </w14:textFill>
        </w:rPr>
        <w:t>本次评标采用综合评标法，评标委员会首先对投标人进行资格符合性审查，审查合格的投标人进入商务评分阶段，评委会依法对各投标文件进行评审，根据综合评审得分从高到低依次排序，综合得分相同的，按投标总报价由低到高顺序排列，推荐前</w:t>
      </w:r>
      <w:r>
        <w:rPr>
          <w:rFonts w:ascii="华文仿宋" w:hAnsi="华文仿宋" w:cs="宋体"/>
          <w:color w:val="000000" w:themeColor="text1"/>
          <w:sz w:val="28"/>
          <w:szCs w:val="28"/>
          <w14:textFill>
            <w14:solidFill>
              <w14:schemeClr w14:val="tx1"/>
            </w14:solidFill>
          </w14:textFill>
        </w:rPr>
        <w:t>2</w:t>
      </w:r>
      <w:r>
        <w:rPr>
          <w:rFonts w:hint="eastAsia" w:ascii="华文仿宋" w:hAnsi="华文仿宋" w:cs="宋体"/>
          <w:color w:val="000000" w:themeColor="text1"/>
          <w:sz w:val="28"/>
          <w:szCs w:val="28"/>
          <w14:textFill>
            <w14:solidFill>
              <w14:schemeClr w14:val="tx1"/>
            </w14:solidFill>
          </w14:textFill>
        </w:rPr>
        <w:t>名为中标候选人</w:t>
      </w:r>
      <w:r>
        <w:rPr>
          <w:rFonts w:hint="eastAsia" w:ascii="华文仿宋" w:hAnsi="华文仿宋" w:cs="宋体"/>
          <w:color w:val="000000" w:themeColor="text1"/>
          <w:sz w:val="28"/>
          <w:szCs w:val="28"/>
          <w:lang w:eastAsia="zh-CN"/>
          <w14:textFill>
            <w14:solidFill>
              <w14:schemeClr w14:val="tx1"/>
            </w14:solidFill>
          </w14:textFill>
        </w:rPr>
        <w:t>。</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lang w:val="en-US" w:eastAsia="zh-CN"/>
          <w14:textFill>
            <w14:solidFill>
              <w14:schemeClr w14:val="tx1"/>
            </w14:solidFill>
          </w14:textFill>
        </w:rPr>
        <w:t>5.3</w:t>
      </w:r>
      <w:r>
        <w:rPr>
          <w:rFonts w:hint="eastAsia" w:ascii="华文仿宋" w:hAnsi="华文仿宋" w:cs="宋体"/>
          <w:color w:val="000000" w:themeColor="text1"/>
          <w:sz w:val="28"/>
          <w:szCs w:val="28"/>
          <w14:textFill>
            <w14:solidFill>
              <w14:schemeClr w14:val="tx1"/>
            </w14:solidFill>
          </w14:textFill>
        </w:rPr>
        <w:t>中标人的确定：招标人报请院领导</w:t>
      </w:r>
      <w:r>
        <w:rPr>
          <w:rFonts w:hint="eastAsia" w:ascii="华文仿宋" w:hAnsi="华文仿宋" w:cs="宋体"/>
          <w:color w:val="000000" w:themeColor="text1"/>
          <w:sz w:val="28"/>
          <w:szCs w:val="28"/>
          <w:lang w:eastAsia="zh-CN"/>
          <w14:textFill>
            <w14:solidFill>
              <w14:schemeClr w14:val="tx1"/>
            </w14:solidFill>
          </w14:textFill>
        </w:rPr>
        <w:t>（办公会）</w:t>
      </w:r>
      <w:r>
        <w:rPr>
          <w:rFonts w:hint="eastAsia" w:ascii="华文仿宋" w:hAnsi="华文仿宋" w:cs="宋体"/>
          <w:color w:val="000000" w:themeColor="text1"/>
          <w:sz w:val="28"/>
          <w:szCs w:val="28"/>
          <w14:textFill>
            <w14:solidFill>
              <w14:schemeClr w14:val="tx1"/>
            </w14:solidFill>
          </w14:textFill>
        </w:rPr>
        <w:t>集体确定，从评标</w:t>
      </w:r>
    </w:p>
    <w:p>
      <w:pPr>
        <w:snapToGrid w:val="0"/>
        <w:spacing w:line="360" w:lineRule="auto"/>
        <w:jc w:val="left"/>
        <w:rPr>
          <w:rFonts w:hint="eastAsia" w:ascii="华文仿宋" w:hAnsi="华文仿宋" w:cs="宋体"/>
          <w:color w:val="000000" w:themeColor="text1"/>
          <w:sz w:val="28"/>
          <w:szCs w:val="28"/>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委员会推荐的中标候选人中确定预中标人，进行不少于</w:t>
      </w:r>
      <w:r>
        <w:rPr>
          <w:rFonts w:ascii="华文仿宋" w:hAnsi="华文仿宋" w:cs="宋体"/>
          <w:color w:val="000000" w:themeColor="text1"/>
          <w:sz w:val="28"/>
          <w:szCs w:val="28"/>
          <w14:textFill>
            <w14:solidFill>
              <w14:schemeClr w14:val="tx1"/>
            </w14:solidFill>
          </w14:textFill>
        </w:rPr>
        <w:t>3</w:t>
      </w:r>
      <w:r>
        <w:rPr>
          <w:rFonts w:hint="eastAsia" w:ascii="华文仿宋" w:hAnsi="华文仿宋" w:cs="宋体"/>
          <w:color w:val="000000" w:themeColor="text1"/>
          <w:sz w:val="28"/>
          <w:szCs w:val="28"/>
          <w14:textFill>
            <w14:solidFill>
              <w14:schemeClr w14:val="tx1"/>
            </w14:solidFill>
          </w14:textFill>
        </w:rPr>
        <w:t>个工作日的</w:t>
      </w:r>
    </w:p>
    <w:p>
      <w:pPr>
        <w:snapToGrid w:val="0"/>
        <w:spacing w:line="360" w:lineRule="auto"/>
        <w:ind w:left="0" w:leftChars="0" w:firstLine="0" w:firstLineChars="0"/>
        <w:jc w:val="left"/>
        <w:rPr>
          <w:rFonts w:hint="eastAsia" w:ascii="华文仿宋" w:hAnsi="华文仿宋" w:eastAsia="宋体" w:cs="宋体"/>
          <w:color w:val="000000" w:themeColor="text1"/>
          <w:sz w:val="28"/>
          <w:szCs w:val="28"/>
          <w:lang w:val="en-US" w:eastAsia="zh-CN"/>
          <w14:textFill>
            <w14:solidFill>
              <w14:schemeClr w14:val="tx1"/>
            </w14:solidFill>
          </w14:textFill>
        </w:rPr>
      </w:pPr>
      <w:r>
        <w:rPr>
          <w:rFonts w:hint="eastAsia" w:ascii="华文仿宋" w:hAnsi="华文仿宋" w:cs="宋体"/>
          <w:color w:val="000000" w:themeColor="text1"/>
          <w:sz w:val="28"/>
          <w:szCs w:val="28"/>
          <w14:textFill>
            <w14:solidFill>
              <w14:schemeClr w14:val="tx1"/>
            </w14:solidFill>
          </w14:textFill>
        </w:rPr>
        <w:t>公示</w:t>
      </w:r>
      <w:r>
        <w:rPr>
          <w:rFonts w:hint="eastAsia" w:ascii="华文仿宋" w:hAnsi="华文仿宋" w:cs="宋体"/>
          <w:color w:val="000000" w:themeColor="text1"/>
          <w:sz w:val="28"/>
          <w:szCs w:val="28"/>
          <w:lang w:eastAsia="zh-CN"/>
          <w14:textFill>
            <w14:solidFill>
              <w14:schemeClr w14:val="tx1"/>
            </w14:solidFill>
          </w14:textFill>
        </w:rPr>
        <w:t>。</w:t>
      </w:r>
    </w:p>
    <w:p>
      <w:pPr>
        <w:numPr>
          <w:ilvl w:val="0"/>
          <w:numId w:val="0"/>
        </w:numPr>
        <w:autoSpaceDE w:val="0"/>
        <w:autoSpaceDN w:val="0"/>
        <w:adjustRightInd w:val="0"/>
        <w:snapToGrid w:val="0"/>
        <w:spacing w:line="360" w:lineRule="auto"/>
        <w:jc w:val="left"/>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6、</w:t>
      </w:r>
      <w:r>
        <w:rPr>
          <w:rFonts w:hint="eastAsia" w:ascii="宋体" w:hAnsi="宋体" w:eastAsia="宋体" w:cs="宋体"/>
          <w:kern w:val="2"/>
          <w:sz w:val="28"/>
          <w:szCs w:val="28"/>
          <w:lang w:val="en-US" w:eastAsia="zh-CN" w:bidi="ar-SA"/>
        </w:rPr>
        <w:t>评标委员会严格按照招标文件的要求进行评标。</w:t>
      </w:r>
      <w:r>
        <w:rPr>
          <w:rFonts w:hint="eastAsia" w:asciiTheme="minorEastAsia" w:hAnsiTheme="minorEastAsia" w:cstheme="minorEastAsia"/>
          <w:sz w:val="28"/>
          <w:szCs w:val="28"/>
        </w:rPr>
        <w:t>评标完成后，评标委员会向招标人提交书面评标报告和推荐2名中标候选人，并按照综合得分由高到低标明排序。</w:t>
      </w:r>
    </w:p>
    <w:p>
      <w:pPr>
        <w:pStyle w:val="9"/>
        <w:snapToGrid w:val="0"/>
        <w:spacing w:line="360" w:lineRule="auto"/>
        <w:jc w:val="left"/>
        <w:rPr>
          <w:rFonts w:hint="eastAsia" w:asciiTheme="minorEastAsia" w:hAnsiTheme="minorEastAsia" w:cstheme="minorEastAsia"/>
          <w:sz w:val="28"/>
          <w:szCs w:val="28"/>
        </w:rPr>
      </w:pP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w:t>
      </w:r>
      <w:r>
        <w:rPr>
          <w:rFonts w:hint="eastAsia" w:asciiTheme="minorEastAsia" w:hAnsiTheme="minorEastAsia" w:cstheme="minorEastAsia"/>
          <w:sz w:val="28"/>
          <w:szCs w:val="28"/>
        </w:rPr>
        <w:t>综合评分标准见下表</w:t>
      </w:r>
    </w:p>
    <w:tbl>
      <w:tblPr>
        <w:tblStyle w:val="11"/>
        <w:tblW w:w="8287" w:type="dxa"/>
        <w:tblInd w:w="98" w:type="dxa"/>
        <w:tblLayout w:type="fixed"/>
        <w:tblCellMar>
          <w:top w:w="0" w:type="dxa"/>
          <w:left w:w="108" w:type="dxa"/>
          <w:bottom w:w="0" w:type="dxa"/>
          <w:right w:w="108" w:type="dxa"/>
        </w:tblCellMar>
      </w:tblPr>
      <w:tblGrid>
        <w:gridCol w:w="760"/>
        <w:gridCol w:w="1303"/>
        <w:gridCol w:w="757"/>
        <w:gridCol w:w="5467"/>
      </w:tblGrid>
      <w:tr>
        <w:tblPrEx>
          <w:tblCellMar>
            <w:top w:w="0" w:type="dxa"/>
            <w:left w:w="108" w:type="dxa"/>
            <w:bottom w:w="0" w:type="dxa"/>
            <w:right w:w="108" w:type="dxa"/>
          </w:tblCellMar>
        </w:tblPrEx>
        <w:trPr>
          <w:trHeight w:val="3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1744" w:hanging="1744" w:firstLineChars="0"/>
              <w:jc w:val="center"/>
              <w:rPr>
                <w:rFonts w:ascii="宋体" w:cs="宋体"/>
                <w:b/>
                <w:bCs/>
                <w:kern w:val="0"/>
                <w:sz w:val="25"/>
                <w:szCs w:val="25"/>
              </w:rPr>
            </w:pPr>
            <w:r>
              <w:rPr>
                <w:rFonts w:hint="eastAsia" w:ascii="宋体" w:hAnsi="宋体" w:cs="宋体"/>
                <w:b/>
                <w:bCs/>
                <w:kern w:val="0"/>
                <w:sz w:val="25"/>
                <w:szCs w:val="25"/>
              </w:rPr>
              <w:t>序号</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评价项目</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分值</w:t>
            </w:r>
          </w:p>
        </w:tc>
        <w:tc>
          <w:tcPr>
            <w:tcW w:w="546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b/>
                <w:bCs/>
                <w:kern w:val="0"/>
                <w:sz w:val="25"/>
                <w:szCs w:val="25"/>
              </w:rPr>
            </w:pPr>
            <w:r>
              <w:rPr>
                <w:rFonts w:hint="eastAsia" w:ascii="宋体" w:hAnsi="宋体" w:cs="宋体"/>
                <w:b/>
                <w:bCs/>
                <w:kern w:val="0"/>
                <w:sz w:val="25"/>
                <w:szCs w:val="25"/>
              </w:rPr>
              <w:t>评分标准</w:t>
            </w:r>
          </w:p>
        </w:tc>
      </w:tr>
      <w:tr>
        <w:tblPrEx>
          <w:tblCellMar>
            <w:top w:w="0" w:type="dxa"/>
            <w:left w:w="108" w:type="dxa"/>
            <w:bottom w:w="0" w:type="dxa"/>
            <w:right w:w="108" w:type="dxa"/>
          </w:tblCellMar>
        </w:tblPrEx>
        <w:trPr>
          <w:trHeight w:val="6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投标总报价</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hAnsi="宋体" w:cs="宋体"/>
                <w:kern w:val="0"/>
                <w:sz w:val="25"/>
                <w:szCs w:val="25"/>
                <w:lang w:val="en-US" w:eastAsia="zh-CN"/>
              </w:rPr>
              <w:t>45</w:t>
            </w:r>
          </w:p>
        </w:tc>
        <w:tc>
          <w:tcPr>
            <w:tcW w:w="5467"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通过预审的低于或等于控制总价的为有效报价，通过资格审核的各投标人报价的最低有效报价为基准价，得分</w:t>
            </w:r>
            <w:r>
              <w:rPr>
                <w:rFonts w:hint="eastAsia" w:ascii="宋体" w:hAnsi="宋体" w:cs="宋体"/>
                <w:kern w:val="0"/>
                <w:sz w:val="25"/>
                <w:szCs w:val="25"/>
                <w:lang w:val="en-US" w:eastAsia="zh-CN"/>
              </w:rPr>
              <w:t>45</w:t>
            </w:r>
            <w:r>
              <w:rPr>
                <w:rFonts w:hint="eastAsia" w:ascii="宋体" w:hAnsi="宋体" w:cs="宋体"/>
                <w:kern w:val="0"/>
                <w:sz w:val="25"/>
                <w:szCs w:val="25"/>
              </w:rPr>
              <w:t>分。其他投标人的价格得分为：基准价/投标报价×</w:t>
            </w:r>
            <w:r>
              <w:rPr>
                <w:rFonts w:hint="eastAsia" w:ascii="宋体" w:hAnsi="宋体" w:cs="宋体"/>
                <w:kern w:val="0"/>
                <w:sz w:val="25"/>
                <w:szCs w:val="25"/>
                <w:lang w:val="en-US" w:eastAsia="zh-CN"/>
              </w:rPr>
              <w:t>45</w:t>
            </w:r>
            <w:r>
              <w:rPr>
                <w:rFonts w:hint="eastAsia" w:ascii="宋体" w:hAnsi="宋体" w:cs="宋体"/>
                <w:kern w:val="0"/>
                <w:sz w:val="25"/>
                <w:szCs w:val="25"/>
              </w:rPr>
              <w:t>（本项最高分</w:t>
            </w:r>
            <w:r>
              <w:rPr>
                <w:rFonts w:hint="eastAsia" w:ascii="宋体" w:hAnsi="宋体" w:cs="宋体"/>
                <w:kern w:val="0"/>
                <w:sz w:val="25"/>
                <w:szCs w:val="25"/>
                <w:lang w:val="en-US" w:eastAsia="zh-CN"/>
              </w:rPr>
              <w:t>45</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1785"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ascii="宋体" w:cs="宋体"/>
                <w:kern w:val="0"/>
                <w:sz w:val="25"/>
                <w:szCs w:val="25"/>
              </w:rPr>
            </w:pPr>
            <w:r>
              <w:rPr>
                <w:rFonts w:hint="eastAsia" w:ascii="宋体" w:hAnsi="宋体" w:eastAsia="宋体" w:cs="宋体"/>
                <w:i w:val="0"/>
                <w:iCs w:val="0"/>
                <w:color w:val="000000"/>
                <w:kern w:val="0"/>
                <w:sz w:val="22"/>
                <w:szCs w:val="22"/>
                <w:u w:val="none"/>
                <w:lang w:val="en-US" w:eastAsia="zh-CN" w:bidi="ar"/>
              </w:rPr>
              <w:t>2</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left"/>
              <w:rPr>
                <w:rFonts w:ascii="宋体" w:cs="宋体"/>
                <w:kern w:val="0"/>
                <w:sz w:val="25"/>
                <w:szCs w:val="25"/>
              </w:rPr>
            </w:pPr>
            <w:r>
              <w:rPr>
                <w:rFonts w:hint="eastAsia" w:ascii="宋体" w:hAnsi="宋体" w:cs="宋体"/>
                <w:color w:val="auto"/>
                <w:kern w:val="0"/>
                <w:sz w:val="25"/>
                <w:szCs w:val="25"/>
                <w:lang w:eastAsia="zh-CN"/>
              </w:rPr>
              <w:t>参数正偏</w:t>
            </w:r>
          </w:p>
        </w:tc>
        <w:tc>
          <w:tcPr>
            <w:tcW w:w="75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eastAsia="宋体" w:cs="宋体"/>
                <w:color w:val="FF0000"/>
                <w:kern w:val="0"/>
                <w:sz w:val="25"/>
                <w:szCs w:val="25"/>
                <w:lang w:val="en-US" w:eastAsia="zh-CN"/>
              </w:rPr>
            </w:pPr>
            <w:r>
              <w:rPr>
                <w:rFonts w:hint="eastAsia" w:ascii="宋体" w:hAnsi="宋体" w:cs="宋体"/>
                <w:color w:val="auto"/>
                <w:kern w:val="0"/>
                <w:sz w:val="25"/>
                <w:szCs w:val="25"/>
                <w:lang w:val="en-US" w:eastAsia="zh-CN"/>
              </w:rPr>
              <w:t>5</w:t>
            </w:r>
          </w:p>
        </w:tc>
        <w:tc>
          <w:tcPr>
            <w:tcW w:w="54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left"/>
              <w:rPr>
                <w:rFonts w:ascii="宋体" w:cs="宋体"/>
                <w:kern w:val="0"/>
                <w:sz w:val="25"/>
                <w:szCs w:val="25"/>
              </w:rPr>
            </w:pPr>
            <w:r>
              <w:rPr>
                <w:rFonts w:hint="eastAsia" w:ascii="宋体" w:hAnsi="宋体" w:cs="宋体"/>
                <w:color w:val="auto"/>
                <w:kern w:val="0"/>
                <w:sz w:val="25"/>
                <w:szCs w:val="25"/>
                <w:lang w:eastAsia="zh-CN"/>
              </w:rPr>
              <w:t>每个正偏离得</w:t>
            </w:r>
            <w:r>
              <w:rPr>
                <w:rFonts w:hint="eastAsia" w:ascii="宋体" w:hAnsi="宋体" w:cs="宋体"/>
                <w:color w:val="auto"/>
                <w:kern w:val="0"/>
                <w:sz w:val="25"/>
                <w:szCs w:val="25"/>
                <w:lang w:val="en-US" w:eastAsia="zh-CN"/>
              </w:rPr>
              <w:t>1</w:t>
            </w:r>
            <w:r>
              <w:rPr>
                <w:rFonts w:hint="eastAsia" w:ascii="宋体" w:hAnsi="宋体" w:cs="宋体"/>
                <w:color w:val="auto"/>
                <w:kern w:val="0"/>
                <w:sz w:val="25"/>
                <w:szCs w:val="25"/>
                <w:lang w:eastAsia="zh-CN"/>
              </w:rPr>
              <w:t>分，最高</w:t>
            </w:r>
            <w:r>
              <w:rPr>
                <w:rFonts w:hint="eastAsia" w:ascii="宋体" w:hAnsi="宋体" w:cs="宋体"/>
                <w:color w:val="auto"/>
                <w:kern w:val="0"/>
                <w:sz w:val="25"/>
                <w:szCs w:val="25"/>
                <w:lang w:val="en-US" w:eastAsia="zh-CN"/>
              </w:rPr>
              <w:t>5</w:t>
            </w:r>
            <w:r>
              <w:rPr>
                <w:rFonts w:hint="eastAsia" w:ascii="宋体" w:hAnsi="宋体" w:cs="宋体"/>
                <w:color w:val="auto"/>
                <w:kern w:val="0"/>
                <w:sz w:val="25"/>
                <w:szCs w:val="25"/>
                <w:lang w:eastAsia="zh-CN"/>
              </w:rPr>
              <w:t>分，没有得0分。（非功能性正偏离不得分）</w:t>
            </w:r>
          </w:p>
        </w:tc>
      </w:tr>
      <w:tr>
        <w:tblPrEx>
          <w:tblCellMar>
            <w:top w:w="0" w:type="dxa"/>
            <w:left w:w="108" w:type="dxa"/>
            <w:bottom w:w="0" w:type="dxa"/>
            <w:right w:w="108" w:type="dxa"/>
          </w:tblCellMar>
        </w:tblPrEx>
        <w:trPr>
          <w:trHeight w:val="1785"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1529" w:leftChars="0" w:hanging="1529" w:hangingChars="695"/>
              <w:jc w:val="center"/>
              <w:textAlignment w:val="center"/>
              <w:rPr>
                <w:rFonts w:ascii="宋体" w:hAnsi="宋体" w:cs="宋体"/>
                <w:kern w:val="0"/>
                <w:sz w:val="25"/>
                <w:szCs w:val="25"/>
              </w:rPr>
            </w:pPr>
            <w:r>
              <w:rPr>
                <w:rFonts w:hint="eastAsia" w:ascii="宋体" w:hAnsi="宋体" w:eastAsia="宋体" w:cs="宋体"/>
                <w:i w:val="0"/>
                <w:iCs w:val="0"/>
                <w:color w:val="000000"/>
                <w:kern w:val="0"/>
                <w:sz w:val="22"/>
                <w:szCs w:val="22"/>
                <w:u w:val="none"/>
                <w:lang w:val="en-US" w:eastAsia="zh-CN" w:bidi="ar"/>
              </w:rPr>
              <w:t>3</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left"/>
              <w:rPr>
                <w:rFonts w:hint="eastAsia" w:ascii="宋体" w:hAnsi="宋体" w:cs="宋体"/>
                <w:kern w:val="0"/>
                <w:sz w:val="25"/>
                <w:szCs w:val="25"/>
              </w:rPr>
            </w:pPr>
            <w:r>
              <w:rPr>
                <w:rFonts w:hint="eastAsia" w:ascii="宋体" w:hAnsi="宋体" w:cs="宋体"/>
                <w:color w:val="auto"/>
                <w:kern w:val="0"/>
                <w:sz w:val="25"/>
                <w:szCs w:val="25"/>
                <w:lang w:eastAsia="zh-CN"/>
              </w:rPr>
              <w:t>参数</w:t>
            </w:r>
            <w:r>
              <w:rPr>
                <w:rFonts w:hint="eastAsia" w:ascii="宋体" w:hAnsi="宋体" w:cs="宋体"/>
                <w:color w:val="auto"/>
                <w:kern w:val="0"/>
                <w:sz w:val="25"/>
                <w:szCs w:val="25"/>
              </w:rPr>
              <w:t>负偏</w:t>
            </w:r>
          </w:p>
        </w:tc>
        <w:tc>
          <w:tcPr>
            <w:tcW w:w="75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宋体" w:cs="宋体"/>
                <w:color w:val="000000" w:themeColor="text1"/>
                <w:kern w:val="0"/>
                <w:sz w:val="25"/>
                <w:szCs w:val="25"/>
                <w:lang w:val="en-US" w:eastAsia="zh-CN"/>
                <w14:textFill>
                  <w14:solidFill>
                    <w14:schemeClr w14:val="tx1"/>
                  </w14:solidFill>
                </w14:textFill>
              </w:rPr>
            </w:pPr>
            <w:r>
              <w:rPr>
                <w:rFonts w:hint="eastAsia" w:ascii="宋体" w:hAnsi="宋体" w:cs="宋体"/>
                <w:color w:val="auto"/>
                <w:kern w:val="0"/>
                <w:sz w:val="25"/>
                <w:szCs w:val="25"/>
                <w:lang w:val="en-US" w:eastAsia="zh-CN"/>
              </w:rPr>
              <w:t>5</w:t>
            </w:r>
          </w:p>
        </w:tc>
        <w:tc>
          <w:tcPr>
            <w:tcW w:w="5467"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left"/>
              <w:rPr>
                <w:rFonts w:hint="eastAsia" w:ascii="宋体" w:hAnsi="宋体" w:cs="宋体"/>
                <w:color w:val="auto"/>
                <w:sz w:val="25"/>
                <w:szCs w:val="25"/>
                <w:lang w:eastAsia="zh-CN"/>
              </w:rPr>
            </w:pPr>
            <w:r>
              <w:rPr>
                <w:rFonts w:hint="eastAsia" w:ascii="宋体" w:hAnsi="宋体" w:cs="宋体"/>
                <w:color w:val="auto"/>
                <w:kern w:val="0"/>
                <w:sz w:val="25"/>
                <w:szCs w:val="25"/>
              </w:rPr>
              <w:t>无负偏离得</w:t>
            </w:r>
            <w:r>
              <w:rPr>
                <w:rFonts w:hint="eastAsia" w:ascii="宋体" w:hAnsi="宋体" w:cs="宋体"/>
                <w:color w:val="auto"/>
                <w:kern w:val="0"/>
                <w:sz w:val="25"/>
                <w:szCs w:val="25"/>
                <w:lang w:val="en-US" w:eastAsia="zh-CN"/>
              </w:rPr>
              <w:t>5</w:t>
            </w:r>
            <w:r>
              <w:rPr>
                <w:rFonts w:hint="eastAsia" w:ascii="宋体" w:hAnsi="宋体" w:cs="宋体"/>
                <w:color w:val="auto"/>
                <w:kern w:val="0"/>
                <w:sz w:val="25"/>
                <w:szCs w:val="25"/>
              </w:rPr>
              <w:t>分，技术指标每</w:t>
            </w:r>
            <w:r>
              <w:rPr>
                <w:rFonts w:hint="eastAsia" w:ascii="宋体" w:hAnsi="宋体" w:cs="宋体"/>
                <w:color w:val="auto"/>
                <w:kern w:val="0"/>
                <w:sz w:val="25"/>
                <w:szCs w:val="25"/>
                <w:lang w:eastAsia="zh-CN"/>
              </w:rPr>
              <w:t>负</w:t>
            </w:r>
            <w:r>
              <w:rPr>
                <w:rFonts w:hint="eastAsia" w:ascii="宋体" w:hAnsi="宋体" w:cs="宋体"/>
                <w:color w:val="auto"/>
                <w:kern w:val="0"/>
                <w:sz w:val="25"/>
                <w:szCs w:val="25"/>
              </w:rPr>
              <w:t>偏离一项扣减</w:t>
            </w:r>
            <w:r>
              <w:rPr>
                <w:rFonts w:hint="eastAsia" w:ascii="宋体" w:hAnsi="宋体" w:cs="宋体"/>
                <w:color w:val="auto"/>
                <w:kern w:val="0"/>
                <w:sz w:val="25"/>
                <w:szCs w:val="25"/>
                <w:lang w:val="en-US" w:eastAsia="zh-CN"/>
              </w:rPr>
              <w:t>1</w:t>
            </w:r>
            <w:r>
              <w:rPr>
                <w:rFonts w:hint="eastAsia" w:ascii="宋体" w:hAnsi="宋体" w:cs="宋体"/>
                <w:color w:val="auto"/>
                <w:kern w:val="0"/>
                <w:sz w:val="25"/>
                <w:szCs w:val="25"/>
              </w:rPr>
              <w:t>分，最多扣</w:t>
            </w:r>
            <w:r>
              <w:rPr>
                <w:rFonts w:hint="eastAsia" w:ascii="宋体" w:hAnsi="宋体" w:cs="宋体"/>
                <w:color w:val="auto"/>
                <w:kern w:val="0"/>
                <w:sz w:val="25"/>
                <w:szCs w:val="25"/>
                <w:lang w:val="en-US" w:eastAsia="zh-CN"/>
              </w:rPr>
              <w:t>5</w:t>
            </w:r>
            <w:r>
              <w:rPr>
                <w:rFonts w:hint="eastAsia" w:ascii="宋体" w:hAnsi="宋体" w:cs="宋体"/>
                <w:color w:val="auto"/>
                <w:kern w:val="0"/>
                <w:sz w:val="25"/>
                <w:szCs w:val="25"/>
              </w:rPr>
              <w:t>分</w:t>
            </w:r>
            <w:r>
              <w:rPr>
                <w:rFonts w:hint="eastAsia" w:ascii="宋体" w:hAnsi="宋体" w:cs="宋体"/>
                <w:color w:val="auto"/>
                <w:kern w:val="0"/>
                <w:sz w:val="25"/>
                <w:szCs w:val="25"/>
                <w:lang w:eastAsia="zh-CN"/>
              </w:rPr>
              <w:t>。（非功能性负偏离不扣分）</w:t>
            </w:r>
          </w:p>
        </w:tc>
      </w:tr>
      <w:tr>
        <w:tblPrEx>
          <w:tblCellMar>
            <w:top w:w="0" w:type="dxa"/>
            <w:left w:w="108" w:type="dxa"/>
            <w:bottom w:w="0" w:type="dxa"/>
            <w:right w:w="108" w:type="dxa"/>
          </w:tblCellMar>
        </w:tblPrEx>
        <w:trPr>
          <w:trHeight w:val="6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4</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000000" w:themeColor="text1"/>
                <w:kern w:val="0"/>
                <w:sz w:val="25"/>
                <w:szCs w:val="25"/>
                <w:lang w:eastAsia="zh-CN"/>
                <w14:textFill>
                  <w14:solidFill>
                    <w14:schemeClr w14:val="tx1"/>
                  </w14:solidFill>
                </w14:textFill>
              </w:rPr>
            </w:pPr>
            <w:r>
              <w:rPr>
                <w:rFonts w:hint="eastAsia" w:ascii="宋体" w:hAnsi="宋体" w:cs="宋体"/>
                <w:color w:val="000000" w:themeColor="text1"/>
                <w:kern w:val="0"/>
                <w:sz w:val="25"/>
                <w:szCs w:val="25"/>
                <w:lang w:eastAsia="zh-CN"/>
                <w14:textFill>
                  <w14:solidFill>
                    <w14:schemeClr w14:val="tx1"/>
                  </w14:solidFill>
                </w14:textFill>
              </w:rPr>
              <w:t>特殊</w:t>
            </w:r>
            <w:r>
              <w:rPr>
                <w:rFonts w:hint="eastAsia" w:ascii="宋体" w:hAnsi="宋体" w:cs="宋体"/>
                <w:color w:val="000000" w:themeColor="text1"/>
                <w:kern w:val="0"/>
                <w:sz w:val="25"/>
                <w:szCs w:val="25"/>
                <w14:textFill>
                  <w14:solidFill>
                    <w14:schemeClr w14:val="tx1"/>
                  </w14:solidFill>
                </w14:textFill>
              </w:rPr>
              <w:t>技术性能</w:t>
            </w:r>
            <w:r>
              <w:rPr>
                <w:rFonts w:hint="eastAsia" w:ascii="宋体" w:hAnsi="宋体" w:cs="宋体"/>
                <w:color w:val="000000" w:themeColor="text1"/>
                <w:kern w:val="0"/>
                <w:sz w:val="25"/>
                <w:szCs w:val="25"/>
                <w:lang w:eastAsia="zh-CN"/>
                <w14:textFill>
                  <w14:solidFill>
                    <w14:schemeClr w14:val="tx1"/>
                  </w14:solidFill>
                </w14:textFill>
              </w:rPr>
              <w:t>要求</w:t>
            </w:r>
          </w:p>
        </w:tc>
        <w:tc>
          <w:tcPr>
            <w:tcW w:w="757"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color w:val="000000" w:themeColor="text1"/>
                <w:kern w:val="0"/>
                <w:sz w:val="25"/>
                <w:szCs w:val="25"/>
                <w:lang w:val="en-US" w:eastAsia="zh-CN"/>
                <w14:textFill>
                  <w14:solidFill>
                    <w14:schemeClr w14:val="tx1"/>
                  </w14:solidFill>
                </w14:textFill>
              </w:rPr>
            </w:pPr>
            <w:r>
              <w:rPr>
                <w:rFonts w:hint="eastAsia" w:ascii="宋体" w:cs="宋体"/>
                <w:color w:val="000000" w:themeColor="text1"/>
                <w:kern w:val="0"/>
                <w:sz w:val="25"/>
                <w:szCs w:val="25"/>
                <w:lang w:val="en-US" w:eastAsia="zh-CN"/>
                <w14:textFill>
                  <w14:solidFill>
                    <w14:schemeClr w14:val="tx1"/>
                  </w14:solidFill>
                </w14:textFill>
              </w:rPr>
              <w:t>14</w:t>
            </w:r>
          </w:p>
        </w:tc>
        <w:tc>
          <w:tcPr>
            <w:tcW w:w="5467" w:type="dxa"/>
            <w:tcBorders>
              <w:top w:val="single" w:color="auto" w:sz="4" w:space="0"/>
              <w:left w:val="nil"/>
              <w:bottom w:val="single" w:color="auto" w:sz="4" w:space="0"/>
              <w:right w:val="single" w:color="auto" w:sz="4" w:space="0"/>
            </w:tcBorders>
            <w:vAlign w:val="center"/>
          </w:tcPr>
          <w:p>
            <w:pPr>
              <w:ind w:left="0" w:leftChars="0" w:firstLine="0" w:firstLineChars="0"/>
              <w:rPr>
                <w:rFonts w:hint="eastAsia" w:asciiTheme="minorEastAsia" w:hAnsiTheme="minorEastAsia" w:eastAsiaTheme="minorEastAsia" w:cstheme="minorEastAsia"/>
                <w:sz w:val="25"/>
                <w:szCs w:val="25"/>
                <w:lang w:val="en-US" w:eastAsia="zh-CN"/>
              </w:rPr>
            </w:pPr>
            <w:r>
              <w:rPr>
                <w:rFonts w:hint="eastAsia" w:asciiTheme="minorEastAsia" w:hAnsiTheme="minorEastAsia" w:eastAsiaTheme="minorEastAsia" w:cstheme="minorEastAsia"/>
                <w:b/>
                <w:bCs/>
                <w:sz w:val="25"/>
                <w:szCs w:val="25"/>
                <w:lang w:val="en-US" w:eastAsia="zh-CN"/>
              </w:rPr>
              <w:t>1.防护级X、γ剂量率仪</w:t>
            </w:r>
            <w:r>
              <w:rPr>
                <w:rFonts w:hint="eastAsia" w:asciiTheme="minorEastAsia" w:hAnsiTheme="minorEastAsia" w:eastAsiaTheme="minorEastAsia" w:cstheme="minorEastAsia"/>
                <w:b w:val="0"/>
                <w:bCs w:val="0"/>
                <w:sz w:val="25"/>
                <w:szCs w:val="25"/>
                <w:lang w:val="en-US" w:eastAsia="zh-CN"/>
              </w:rPr>
              <w:t>符合</w:t>
            </w:r>
            <w:r>
              <w:rPr>
                <w:rFonts w:hint="eastAsia" w:asciiTheme="minorEastAsia" w:hAnsiTheme="minorEastAsia" w:eastAsiaTheme="minorEastAsia" w:cstheme="minorEastAsia"/>
                <w:sz w:val="25"/>
                <w:szCs w:val="25"/>
                <w:lang w:val="en-US" w:eastAsia="zh-CN"/>
              </w:rPr>
              <w:t>《电磁兼容试验和测量技术静电放电抗扰度试验》标准，可通过静电放电抗扰度试验，提供省级或以上检验机构出具的检验报告，提供报告得2分。</w:t>
            </w:r>
          </w:p>
          <w:p>
            <w:pPr>
              <w:ind w:left="0" w:leftChars="0" w:firstLine="0" w:firstLineChars="0"/>
              <w:rPr>
                <w:rFonts w:hint="eastAsia" w:asciiTheme="minorEastAsia" w:hAnsiTheme="minorEastAsia" w:eastAsiaTheme="minorEastAsia" w:cstheme="minorEastAsia"/>
                <w:sz w:val="25"/>
                <w:szCs w:val="25"/>
                <w:lang w:val="en-US" w:eastAsia="zh-CN"/>
              </w:rPr>
            </w:pPr>
            <w:r>
              <w:rPr>
                <w:rFonts w:hint="eastAsia" w:asciiTheme="minorEastAsia" w:hAnsiTheme="minorEastAsia" w:eastAsiaTheme="minorEastAsia" w:cstheme="minorEastAsia"/>
                <w:b/>
                <w:bCs/>
                <w:sz w:val="25"/>
                <w:szCs w:val="25"/>
                <w:lang w:val="en-US" w:eastAsia="zh-CN"/>
              </w:rPr>
              <w:t>2.防护级X、γ剂量率仪</w:t>
            </w:r>
            <w:r>
              <w:rPr>
                <w:rFonts w:hint="eastAsia" w:asciiTheme="minorEastAsia" w:hAnsiTheme="minorEastAsia" w:eastAsiaTheme="minorEastAsia" w:cstheme="minorEastAsia"/>
                <w:sz w:val="25"/>
                <w:szCs w:val="25"/>
                <w:lang w:val="en-US" w:eastAsia="zh-CN"/>
              </w:rPr>
              <w:t>符合《电磁兼容试验和测量技术射频电磁场辐射抗扰度试验》标准，可通过射频电磁场辐射抗扰度试验，提供省级或以上检验机构出具的检验报告，提供报告得2分。</w:t>
            </w:r>
          </w:p>
          <w:p>
            <w:pPr>
              <w:numPr>
                <w:ilvl w:val="0"/>
                <w:numId w:val="0"/>
              </w:numPr>
              <w:spacing w:line="360" w:lineRule="auto"/>
              <w:ind w:leftChars="0"/>
              <w:outlineLvl w:val="1"/>
              <w:rPr>
                <w:rFonts w:hint="eastAsia" w:asciiTheme="minorEastAsia" w:hAnsiTheme="minorEastAsia" w:eastAsiaTheme="minorEastAsia" w:cstheme="minorEastAsia"/>
                <w:sz w:val="25"/>
                <w:szCs w:val="25"/>
                <w:lang w:val="en-US" w:eastAsia="zh-CN"/>
              </w:rPr>
            </w:pPr>
            <w:r>
              <w:rPr>
                <w:rFonts w:hint="eastAsia" w:asciiTheme="minorEastAsia" w:hAnsiTheme="minorEastAsia" w:eastAsiaTheme="minorEastAsia" w:cstheme="minorEastAsia"/>
                <w:b/>
                <w:bCs/>
                <w:sz w:val="25"/>
                <w:szCs w:val="25"/>
                <w:lang w:val="en-US" w:eastAsia="zh-CN"/>
              </w:rPr>
              <w:t>3.αβ表面污染检测仪</w:t>
            </w:r>
            <w:r>
              <w:rPr>
                <w:rFonts w:hint="eastAsia" w:asciiTheme="minorEastAsia" w:hAnsiTheme="minorEastAsia" w:eastAsiaTheme="minorEastAsia" w:cstheme="minorEastAsia"/>
                <w:sz w:val="25"/>
                <w:szCs w:val="25"/>
                <w:lang w:val="en-US" w:eastAsia="zh-CN"/>
              </w:rPr>
              <w:t>符合《电磁兼容试验和测量技术静电放电抗扰度试验》标准,可通过静电放电抗扰度试验，提供省级或以上检验机构出具的检验报告,提供报告得2分。</w:t>
            </w:r>
          </w:p>
          <w:p>
            <w:pPr>
              <w:numPr>
                <w:ilvl w:val="0"/>
                <w:numId w:val="0"/>
              </w:numPr>
              <w:spacing w:line="360" w:lineRule="auto"/>
              <w:ind w:leftChars="0"/>
              <w:outlineLvl w:val="1"/>
              <w:rPr>
                <w:rFonts w:hint="eastAsia" w:asciiTheme="minorEastAsia" w:hAnsiTheme="minorEastAsia" w:eastAsiaTheme="minorEastAsia" w:cstheme="minorEastAsia"/>
                <w:sz w:val="25"/>
                <w:szCs w:val="25"/>
                <w:lang w:val="en-US" w:eastAsia="zh-CN"/>
              </w:rPr>
            </w:pPr>
            <w:r>
              <w:rPr>
                <w:rFonts w:hint="eastAsia" w:asciiTheme="minorEastAsia" w:hAnsiTheme="minorEastAsia" w:eastAsiaTheme="minorEastAsia" w:cstheme="minorEastAsia"/>
                <w:b/>
                <w:bCs/>
                <w:sz w:val="25"/>
                <w:szCs w:val="25"/>
                <w:lang w:val="en-US" w:eastAsia="zh-CN"/>
              </w:rPr>
              <w:t>4.αβ表面污染检测仪</w:t>
            </w:r>
            <w:r>
              <w:rPr>
                <w:rFonts w:hint="eastAsia" w:asciiTheme="minorEastAsia" w:hAnsiTheme="minorEastAsia" w:eastAsiaTheme="minorEastAsia" w:cstheme="minorEastAsia"/>
                <w:sz w:val="25"/>
                <w:szCs w:val="25"/>
                <w:lang w:val="en-US" w:eastAsia="zh-CN"/>
              </w:rPr>
              <w:t>符合《电磁兼容试验和测量技术射频电磁场辐射抗扰度试验》标准，可通过射频电磁场辐射抗扰度试验，提供省级或以上检验机构出具的检验报告，提供报告得2分。</w:t>
            </w:r>
          </w:p>
          <w:p>
            <w:pPr>
              <w:ind w:left="0" w:leftChars="0" w:firstLine="0" w:firstLineChars="0"/>
              <w:rPr>
                <w:rFonts w:hint="eastAsia" w:asciiTheme="minorEastAsia" w:hAnsiTheme="minorEastAsia" w:eastAsiaTheme="minorEastAsia" w:cstheme="minorEastAsia"/>
                <w:sz w:val="25"/>
                <w:szCs w:val="25"/>
                <w:lang w:val="en-US" w:eastAsia="zh-CN"/>
              </w:rPr>
            </w:pPr>
            <w:r>
              <w:rPr>
                <w:rFonts w:hint="eastAsia" w:asciiTheme="minorEastAsia" w:hAnsiTheme="minorEastAsia" w:eastAsiaTheme="minorEastAsia" w:cstheme="minorEastAsia"/>
                <w:b/>
                <w:bCs/>
                <w:sz w:val="25"/>
                <w:szCs w:val="25"/>
                <w:lang w:val="en-US" w:eastAsia="zh-CN"/>
              </w:rPr>
              <w:t>5.中子测量装置</w:t>
            </w:r>
            <w:r>
              <w:rPr>
                <w:rFonts w:hint="eastAsia" w:asciiTheme="minorEastAsia" w:hAnsiTheme="minorEastAsia" w:eastAsiaTheme="minorEastAsia" w:cstheme="minorEastAsia"/>
                <w:sz w:val="25"/>
                <w:szCs w:val="25"/>
                <w:lang w:val="en-US" w:eastAsia="zh-CN"/>
              </w:rPr>
              <w:t>内置蓝牙通讯模块，可联网上传测量数据，直接生成报表,有蓝牙通讯模块得2分，须提供产品功能白皮书等证明材料。</w:t>
            </w:r>
          </w:p>
          <w:p>
            <w:pPr>
              <w:ind w:left="0" w:leftChars="0" w:firstLine="0" w:firstLineChars="0"/>
              <w:rPr>
                <w:rFonts w:hint="eastAsia" w:asciiTheme="minorEastAsia" w:hAnsiTheme="minorEastAsia" w:eastAsiaTheme="minorEastAsia" w:cstheme="minorEastAsia"/>
                <w:sz w:val="25"/>
                <w:szCs w:val="25"/>
                <w:lang w:val="en-US" w:eastAsia="zh-CN"/>
              </w:rPr>
            </w:pPr>
            <w:r>
              <w:rPr>
                <w:rFonts w:hint="eastAsia" w:asciiTheme="minorEastAsia" w:hAnsiTheme="minorEastAsia" w:eastAsiaTheme="minorEastAsia" w:cstheme="minorEastAsia"/>
                <w:b/>
                <w:bCs/>
                <w:sz w:val="25"/>
                <w:szCs w:val="25"/>
                <w:lang w:val="en-US" w:eastAsia="zh-CN"/>
              </w:rPr>
              <w:t>6.氡及其子体测量装置</w:t>
            </w:r>
            <w:r>
              <w:rPr>
                <w:rFonts w:hint="eastAsia" w:asciiTheme="minorEastAsia" w:hAnsiTheme="minorEastAsia" w:eastAsiaTheme="minorEastAsia" w:cstheme="minorEastAsia"/>
                <w:sz w:val="25"/>
                <w:szCs w:val="25"/>
                <w:lang w:val="en-US" w:eastAsia="zh-CN"/>
              </w:rPr>
              <w:t>的输出功能，带有USB、WIFI模块，用于数据下载到电脑和发送数据使用，有USB、WIFI功能模块得2分，须提供产品功能白皮书等证明材料。</w:t>
            </w:r>
          </w:p>
          <w:p>
            <w:pPr>
              <w:ind w:left="0" w:leftChars="0" w:firstLine="0" w:firstLineChars="0"/>
              <w:rPr>
                <w:rFonts w:hint="eastAsia" w:asciiTheme="minorEastAsia" w:hAnsiTheme="minorEastAsia" w:eastAsiaTheme="minorEastAsia" w:cstheme="minorEastAsia"/>
                <w:color w:val="FF0000"/>
                <w:kern w:val="0"/>
                <w:sz w:val="25"/>
                <w:szCs w:val="25"/>
                <w:lang w:val="en-US" w:eastAsia="zh-CN"/>
              </w:rPr>
            </w:pPr>
            <w:r>
              <w:rPr>
                <w:rFonts w:hint="eastAsia" w:asciiTheme="minorEastAsia" w:hAnsiTheme="minorEastAsia" w:eastAsiaTheme="minorEastAsia" w:cstheme="minorEastAsia"/>
                <w:b/>
                <w:bCs/>
                <w:sz w:val="25"/>
                <w:szCs w:val="25"/>
                <w:lang w:val="en-US" w:eastAsia="zh-CN"/>
              </w:rPr>
              <w:t>7.空气采样泵</w:t>
            </w:r>
            <w:r>
              <w:rPr>
                <w:rFonts w:hint="eastAsia" w:asciiTheme="minorEastAsia" w:hAnsiTheme="minorEastAsia" w:eastAsiaTheme="minorEastAsia" w:cstheme="minorEastAsia"/>
                <w:sz w:val="25"/>
                <w:szCs w:val="25"/>
                <w:lang w:val="en-US" w:eastAsia="zh-CN"/>
              </w:rPr>
              <w:t>有200条或以上历史信息查询功能，及有电池电量显示功能模块得2分，须提供产品功能白皮书等证明材料。本项最高14分。</w:t>
            </w:r>
          </w:p>
        </w:tc>
      </w:tr>
      <w:tr>
        <w:tblPrEx>
          <w:tblCellMar>
            <w:top w:w="0" w:type="dxa"/>
            <w:left w:w="108" w:type="dxa"/>
            <w:bottom w:w="0" w:type="dxa"/>
            <w:right w:w="108" w:type="dxa"/>
          </w:tblCellMar>
        </w:tblPrEx>
        <w:trPr>
          <w:trHeight w:val="19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hint="eastAsia" w:ascii="宋体" w:eastAsia="宋体" w:cs="宋体"/>
                <w:kern w:val="0"/>
                <w:sz w:val="25"/>
                <w:szCs w:val="25"/>
                <w:lang w:eastAsia="zh-CN"/>
              </w:rPr>
            </w:pPr>
            <w:r>
              <w:rPr>
                <w:rFonts w:hint="eastAsia" w:ascii="宋体" w:hAnsi="宋体" w:cs="宋体"/>
                <w:kern w:val="0"/>
                <w:sz w:val="25"/>
                <w:szCs w:val="25"/>
                <w:lang w:val="en-US" w:eastAsia="zh-CN"/>
              </w:rPr>
              <w:t>5</w:t>
            </w:r>
          </w:p>
        </w:tc>
        <w:tc>
          <w:tcPr>
            <w:tcW w:w="1303" w:type="dxa"/>
            <w:tcBorders>
              <w:top w:val="single" w:color="auto" w:sz="4" w:space="0"/>
              <w:left w:val="nil"/>
              <w:bottom w:val="single" w:color="auto" w:sz="4" w:space="0"/>
              <w:right w:val="single" w:color="auto" w:sz="4" w:space="0"/>
            </w:tcBorders>
            <w:vAlign w:val="center"/>
          </w:tcPr>
          <w:p>
            <w:pPr>
              <w:widowControl/>
              <w:ind w:left="0" w:firstLine="0" w:firstLineChars="0"/>
              <w:jc w:val="center"/>
              <w:rPr>
                <w:rFonts w:hint="eastAsia" w:ascii="宋体" w:eastAsia="宋体" w:cs="宋体"/>
                <w:kern w:val="0"/>
                <w:sz w:val="25"/>
                <w:szCs w:val="25"/>
                <w:lang w:eastAsia="zh-CN"/>
              </w:rPr>
            </w:pPr>
            <w:r>
              <w:rPr>
                <w:rFonts w:hint="eastAsia" w:ascii="宋体" w:hAnsi="宋体" w:cs="宋体"/>
                <w:kern w:val="0"/>
                <w:sz w:val="25"/>
                <w:szCs w:val="25"/>
                <w:lang w:eastAsia="zh-CN"/>
              </w:rPr>
              <w:t>质保期承诺</w:t>
            </w:r>
          </w:p>
        </w:tc>
        <w:tc>
          <w:tcPr>
            <w:tcW w:w="757" w:type="dxa"/>
            <w:tcBorders>
              <w:top w:val="single" w:color="auto" w:sz="4" w:space="0"/>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20</w:t>
            </w:r>
          </w:p>
        </w:tc>
        <w:tc>
          <w:tcPr>
            <w:tcW w:w="5467" w:type="dxa"/>
            <w:tcBorders>
              <w:top w:val="single" w:color="auto" w:sz="4" w:space="0"/>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整机</w:t>
            </w:r>
            <w:r>
              <w:rPr>
                <w:rFonts w:hint="eastAsia" w:ascii="宋体" w:hAnsi="宋体" w:cs="宋体"/>
                <w:kern w:val="0"/>
                <w:sz w:val="25"/>
                <w:szCs w:val="25"/>
                <w:lang w:eastAsia="zh-CN"/>
              </w:rPr>
              <w:t>质保期</w:t>
            </w:r>
            <w:r>
              <w:rPr>
                <w:rFonts w:hint="eastAsia" w:ascii="宋体" w:hAnsi="宋体" w:cs="宋体"/>
                <w:kern w:val="0"/>
                <w:sz w:val="25"/>
                <w:szCs w:val="25"/>
              </w:rPr>
              <w:t>承诺：承诺</w:t>
            </w:r>
            <w:r>
              <w:rPr>
                <w:rFonts w:hint="eastAsia" w:ascii="宋体" w:hAnsi="宋体" w:cs="宋体"/>
                <w:kern w:val="0"/>
                <w:sz w:val="25"/>
                <w:szCs w:val="25"/>
                <w:lang w:eastAsia="zh-CN"/>
              </w:rPr>
              <w:t>质保期</w:t>
            </w:r>
            <w:r>
              <w:rPr>
                <w:rFonts w:hint="eastAsia" w:ascii="宋体" w:hAnsi="宋体" w:cs="宋体"/>
                <w:kern w:val="0"/>
                <w:sz w:val="25"/>
                <w:szCs w:val="25"/>
              </w:rPr>
              <w:t>1年得2分，承诺</w:t>
            </w:r>
            <w:r>
              <w:rPr>
                <w:rFonts w:hint="eastAsia" w:ascii="宋体" w:hAnsi="宋体" w:cs="宋体"/>
                <w:kern w:val="0"/>
                <w:sz w:val="25"/>
                <w:szCs w:val="25"/>
                <w:lang w:eastAsia="zh-CN"/>
              </w:rPr>
              <w:t>质保期</w:t>
            </w:r>
            <w:r>
              <w:rPr>
                <w:rFonts w:hint="eastAsia" w:ascii="宋体" w:hAnsi="宋体" w:cs="宋体"/>
                <w:kern w:val="0"/>
                <w:sz w:val="25"/>
                <w:szCs w:val="25"/>
              </w:rPr>
              <w:t>2年得5分，承诺</w:t>
            </w:r>
            <w:r>
              <w:rPr>
                <w:rFonts w:hint="eastAsia" w:ascii="宋体" w:hAnsi="宋体" w:cs="宋体"/>
                <w:kern w:val="0"/>
                <w:sz w:val="25"/>
                <w:szCs w:val="25"/>
                <w:lang w:eastAsia="zh-CN"/>
              </w:rPr>
              <w:t>质保期</w:t>
            </w:r>
            <w:r>
              <w:rPr>
                <w:rFonts w:hint="eastAsia" w:ascii="宋体" w:hAnsi="宋体" w:cs="宋体"/>
                <w:kern w:val="0"/>
                <w:sz w:val="25"/>
                <w:szCs w:val="25"/>
              </w:rPr>
              <w:t>3年得</w:t>
            </w:r>
            <w:r>
              <w:rPr>
                <w:rFonts w:hint="eastAsia" w:ascii="宋体" w:hAnsi="宋体" w:cs="宋体"/>
                <w:kern w:val="0"/>
                <w:sz w:val="25"/>
                <w:szCs w:val="25"/>
                <w:lang w:val="en-US" w:eastAsia="zh-CN"/>
              </w:rPr>
              <w:t>20</w:t>
            </w:r>
            <w:r>
              <w:rPr>
                <w:rFonts w:hint="eastAsia" w:ascii="宋体" w:hAnsi="宋体" w:cs="宋体"/>
                <w:kern w:val="0"/>
                <w:sz w:val="25"/>
                <w:szCs w:val="25"/>
              </w:rPr>
              <w:t>分</w:t>
            </w:r>
            <w:r>
              <w:rPr>
                <w:rFonts w:hint="eastAsia" w:ascii="宋体" w:hAnsi="宋体" w:cs="宋体"/>
                <w:kern w:val="0"/>
                <w:sz w:val="25"/>
                <w:szCs w:val="25"/>
                <w:lang w:eastAsia="zh-CN"/>
              </w:rPr>
              <w:t>。</w:t>
            </w:r>
            <w:r>
              <w:rPr>
                <w:rFonts w:hint="eastAsia" w:ascii="宋体" w:hAnsi="宋体" w:cs="宋体"/>
                <w:kern w:val="0"/>
                <w:sz w:val="25"/>
                <w:szCs w:val="25"/>
              </w:rPr>
              <w:t>本项最高20分。</w:t>
            </w:r>
          </w:p>
        </w:tc>
      </w:tr>
      <w:tr>
        <w:tblPrEx>
          <w:tblCellMar>
            <w:top w:w="0" w:type="dxa"/>
            <w:left w:w="108" w:type="dxa"/>
            <w:bottom w:w="0" w:type="dxa"/>
            <w:right w:w="108" w:type="dxa"/>
          </w:tblCellMar>
        </w:tblPrEx>
        <w:trPr>
          <w:trHeight w:val="122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kern w:val="0"/>
                <w:sz w:val="25"/>
                <w:szCs w:val="25"/>
                <w:lang w:val="en-US" w:eastAsia="zh-CN" w:bidi="ar-SA"/>
              </w:rPr>
            </w:pPr>
            <w:r>
              <w:rPr>
                <w:rFonts w:hint="eastAsia" w:ascii="宋体" w:hAnsi="宋体" w:cs="宋体"/>
                <w:kern w:val="0"/>
                <w:sz w:val="25"/>
                <w:szCs w:val="25"/>
                <w:lang w:val="en-US" w:eastAsia="zh-CN"/>
              </w:rPr>
              <w:t>6</w:t>
            </w:r>
          </w:p>
        </w:tc>
        <w:tc>
          <w:tcPr>
            <w:tcW w:w="130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kern w:val="0"/>
                <w:sz w:val="25"/>
                <w:szCs w:val="25"/>
                <w:lang w:val="en-US" w:eastAsia="zh-CN" w:bidi="ar-SA"/>
              </w:rPr>
            </w:pPr>
            <w:r>
              <w:rPr>
                <w:rFonts w:hint="eastAsia" w:ascii="宋体" w:cs="宋体"/>
                <w:kern w:val="0"/>
                <w:sz w:val="25"/>
                <w:szCs w:val="25"/>
                <w:lang w:val="en-US" w:eastAsia="zh-CN" w:bidi="ar-SA"/>
              </w:rPr>
              <w:t>售后响应</w:t>
            </w:r>
          </w:p>
        </w:tc>
        <w:tc>
          <w:tcPr>
            <w:tcW w:w="757"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default" w:ascii="宋体" w:hAnsi="Calibri" w:eastAsia="宋体" w:cs="宋体"/>
                <w:kern w:val="0"/>
                <w:sz w:val="25"/>
                <w:szCs w:val="25"/>
                <w:lang w:val="en-US" w:eastAsia="zh-CN" w:bidi="ar-SA"/>
              </w:rPr>
            </w:pPr>
            <w:r>
              <w:rPr>
                <w:rFonts w:hint="eastAsia" w:ascii="宋体" w:cs="宋体"/>
                <w:kern w:val="0"/>
                <w:sz w:val="25"/>
                <w:szCs w:val="25"/>
                <w:lang w:val="en-US" w:eastAsia="zh-CN" w:bidi="ar-SA"/>
              </w:rPr>
              <w:t>3</w:t>
            </w:r>
          </w:p>
        </w:tc>
        <w:tc>
          <w:tcPr>
            <w:tcW w:w="5467" w:type="dxa"/>
            <w:tcBorders>
              <w:top w:val="single" w:color="auto" w:sz="4" w:space="0"/>
              <w:left w:val="nil"/>
              <w:bottom w:val="single" w:color="auto" w:sz="4" w:space="0"/>
              <w:right w:val="single" w:color="auto" w:sz="4" w:space="0"/>
            </w:tcBorders>
            <w:vAlign w:val="center"/>
          </w:tcPr>
          <w:p>
            <w:pPr>
              <w:widowControl/>
              <w:ind w:left="0" w:leftChars="0" w:firstLine="0" w:firstLineChars="0"/>
              <w:jc w:val="left"/>
              <w:rPr>
                <w:rFonts w:hint="eastAsia" w:ascii="宋体" w:hAnsi="Calibri" w:eastAsia="宋体" w:cs="宋体"/>
                <w:kern w:val="0"/>
                <w:sz w:val="25"/>
                <w:szCs w:val="25"/>
                <w:lang w:val="en-US" w:eastAsia="zh-CN" w:bidi="ar-SA"/>
              </w:rPr>
            </w:pPr>
            <w:r>
              <w:rPr>
                <w:rFonts w:hint="eastAsia" w:ascii="宋体" w:hAnsi="宋体" w:cs="宋体"/>
                <w:sz w:val="25"/>
                <w:szCs w:val="25"/>
              </w:rPr>
              <w:t>承诺维修人员</w:t>
            </w:r>
            <w:r>
              <w:rPr>
                <w:rFonts w:ascii="宋体" w:hAnsi="宋体" w:cs="宋体"/>
                <w:sz w:val="25"/>
                <w:szCs w:val="25"/>
              </w:rPr>
              <w:t>2</w:t>
            </w:r>
            <w:r>
              <w:rPr>
                <w:rFonts w:hint="eastAsia" w:ascii="宋体" w:hAnsi="宋体" w:cs="宋体"/>
                <w:sz w:val="25"/>
                <w:szCs w:val="25"/>
              </w:rPr>
              <w:t>小时响应得</w:t>
            </w:r>
            <w:r>
              <w:rPr>
                <w:rFonts w:ascii="宋体" w:hAnsi="宋体" w:cs="宋体"/>
                <w:sz w:val="25"/>
                <w:szCs w:val="25"/>
              </w:rPr>
              <w:t>1</w:t>
            </w:r>
            <w:r>
              <w:rPr>
                <w:rFonts w:hint="eastAsia" w:ascii="宋体" w:hAnsi="宋体" w:cs="宋体"/>
                <w:sz w:val="25"/>
                <w:szCs w:val="25"/>
              </w:rPr>
              <w:t>分，</w:t>
            </w:r>
            <w:r>
              <w:rPr>
                <w:rFonts w:ascii="宋体" w:hAnsi="宋体" w:cs="宋体"/>
                <w:sz w:val="25"/>
                <w:szCs w:val="25"/>
              </w:rPr>
              <w:t>24</w:t>
            </w:r>
            <w:r>
              <w:rPr>
                <w:rFonts w:hint="eastAsia" w:ascii="宋体" w:hAnsi="宋体" w:cs="宋体"/>
                <w:sz w:val="25"/>
                <w:szCs w:val="25"/>
              </w:rPr>
              <w:t>小时内到达现场得</w:t>
            </w:r>
            <w:r>
              <w:rPr>
                <w:rFonts w:ascii="宋体" w:hAnsi="宋体" w:cs="宋体"/>
                <w:sz w:val="25"/>
                <w:szCs w:val="25"/>
              </w:rPr>
              <w:t>2</w:t>
            </w:r>
            <w:r>
              <w:rPr>
                <w:rFonts w:hint="eastAsia" w:ascii="宋体" w:hAnsi="宋体" w:cs="宋体"/>
                <w:sz w:val="25"/>
                <w:szCs w:val="25"/>
              </w:rPr>
              <w:t>分，</w:t>
            </w:r>
            <w:r>
              <w:rPr>
                <w:rFonts w:ascii="宋体" w:hAnsi="宋体" w:cs="宋体"/>
                <w:sz w:val="25"/>
                <w:szCs w:val="25"/>
              </w:rPr>
              <w:t>48</w:t>
            </w:r>
            <w:r>
              <w:rPr>
                <w:rFonts w:hint="eastAsia" w:ascii="宋体" w:hAnsi="宋体" w:cs="宋体"/>
                <w:sz w:val="25"/>
                <w:szCs w:val="25"/>
              </w:rPr>
              <w:t>小时修复得</w:t>
            </w:r>
            <w:r>
              <w:rPr>
                <w:rFonts w:ascii="宋体" w:hAnsi="宋体" w:cs="宋体"/>
                <w:sz w:val="25"/>
                <w:szCs w:val="25"/>
              </w:rPr>
              <w:t>3</w:t>
            </w:r>
            <w:r>
              <w:rPr>
                <w:rFonts w:hint="eastAsia" w:ascii="宋体" w:hAnsi="宋体" w:cs="宋体"/>
                <w:sz w:val="25"/>
                <w:szCs w:val="25"/>
              </w:rPr>
              <w:t>分。</w:t>
            </w:r>
          </w:p>
        </w:tc>
      </w:tr>
      <w:tr>
        <w:tblPrEx>
          <w:tblCellMar>
            <w:top w:w="0" w:type="dxa"/>
            <w:left w:w="108" w:type="dxa"/>
            <w:bottom w:w="0" w:type="dxa"/>
            <w:right w:w="108" w:type="dxa"/>
          </w:tblCellMar>
        </w:tblPrEx>
        <w:trPr>
          <w:trHeight w:val="1223"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rPr>
                <w:rFonts w:hint="default" w:ascii="宋体" w:hAnsi="Calibri" w:eastAsia="宋体" w:cs="宋体"/>
                <w:kern w:val="0"/>
                <w:sz w:val="25"/>
                <w:szCs w:val="25"/>
                <w:lang w:val="en-US" w:eastAsia="zh-CN" w:bidi="ar-SA"/>
              </w:rPr>
            </w:pPr>
            <w:r>
              <w:rPr>
                <w:rFonts w:hint="eastAsia" w:ascii="宋体" w:cs="宋体"/>
                <w:kern w:val="0"/>
                <w:sz w:val="25"/>
                <w:szCs w:val="25"/>
                <w:lang w:val="en-US" w:eastAsia="zh-CN" w:bidi="ar-SA"/>
              </w:rPr>
              <w:t>7</w:t>
            </w:r>
          </w:p>
        </w:tc>
        <w:tc>
          <w:tcPr>
            <w:tcW w:w="1303"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eastAsia" w:ascii="宋体" w:hAnsi="Calibri" w:eastAsia="宋体" w:cs="宋体"/>
                <w:kern w:val="0"/>
                <w:sz w:val="25"/>
                <w:szCs w:val="25"/>
                <w:lang w:val="en-US" w:eastAsia="zh-CN" w:bidi="ar-SA"/>
              </w:rPr>
            </w:pPr>
            <w:r>
              <w:rPr>
                <w:rFonts w:hint="eastAsia" w:ascii="宋体" w:cs="宋体"/>
                <w:kern w:val="0"/>
                <w:sz w:val="25"/>
                <w:szCs w:val="25"/>
                <w:lang w:eastAsia="zh-CN"/>
              </w:rPr>
              <w:t>业绩</w:t>
            </w:r>
          </w:p>
        </w:tc>
        <w:tc>
          <w:tcPr>
            <w:tcW w:w="757" w:type="dxa"/>
            <w:tcBorders>
              <w:top w:val="single" w:color="auto" w:sz="4" w:space="0"/>
              <w:left w:val="nil"/>
              <w:bottom w:val="single" w:color="auto" w:sz="4" w:space="0"/>
              <w:right w:val="single" w:color="auto" w:sz="4" w:space="0"/>
            </w:tcBorders>
            <w:vAlign w:val="center"/>
          </w:tcPr>
          <w:p>
            <w:pPr>
              <w:widowControl/>
              <w:ind w:left="0" w:leftChars="0" w:firstLine="0" w:firstLineChars="0"/>
              <w:jc w:val="center"/>
              <w:rPr>
                <w:rFonts w:hint="default" w:ascii="宋体" w:hAnsi="Calibri" w:eastAsia="宋体" w:cs="宋体"/>
                <w:color w:val="FF0000"/>
                <w:kern w:val="0"/>
                <w:sz w:val="25"/>
                <w:szCs w:val="25"/>
                <w:lang w:val="en-US" w:eastAsia="zh-CN" w:bidi="ar-SA"/>
              </w:rPr>
            </w:pPr>
            <w:r>
              <w:rPr>
                <w:rFonts w:hint="eastAsia" w:ascii="宋体" w:hAnsi="宋体" w:cs="宋体"/>
                <w:kern w:val="0"/>
                <w:sz w:val="25"/>
                <w:szCs w:val="25"/>
                <w:lang w:val="en-US" w:eastAsia="zh-CN"/>
              </w:rPr>
              <w:t>4</w:t>
            </w:r>
          </w:p>
        </w:tc>
        <w:tc>
          <w:tcPr>
            <w:tcW w:w="5467" w:type="dxa"/>
            <w:tcBorders>
              <w:top w:val="single" w:color="auto" w:sz="4" w:space="0"/>
              <w:left w:val="nil"/>
              <w:bottom w:val="single" w:color="auto" w:sz="4" w:space="0"/>
              <w:right w:val="single" w:color="auto" w:sz="4" w:space="0"/>
            </w:tcBorders>
            <w:vAlign w:val="center"/>
          </w:tcPr>
          <w:p>
            <w:pPr>
              <w:widowControl/>
              <w:numPr>
                <w:ilvl w:val="0"/>
                <w:numId w:val="0"/>
              </w:numPr>
              <w:ind w:left="0" w:leftChars="0" w:firstLine="0" w:firstLineChars="0"/>
              <w:jc w:val="left"/>
              <w:rPr>
                <w:rFonts w:hint="eastAsia" w:ascii="宋体" w:hAnsi="宋体" w:eastAsia="宋体" w:cs="宋体"/>
                <w:kern w:val="0"/>
                <w:sz w:val="25"/>
                <w:szCs w:val="25"/>
                <w:lang w:val="en-US" w:eastAsia="zh-CN" w:bidi="ar-SA"/>
              </w:rPr>
            </w:pPr>
            <w:r>
              <w:rPr>
                <w:rFonts w:hint="eastAsia" w:ascii="宋体" w:hAnsi="宋体" w:cs="宋体"/>
                <w:kern w:val="0"/>
                <w:sz w:val="25"/>
                <w:szCs w:val="25"/>
              </w:rPr>
              <w:t>提供</w:t>
            </w:r>
            <w:r>
              <w:rPr>
                <w:rFonts w:ascii="宋体" w:hAnsi="宋体" w:cs="宋体"/>
                <w:kern w:val="0"/>
                <w:sz w:val="25"/>
                <w:szCs w:val="25"/>
              </w:rPr>
              <w:t>201</w:t>
            </w:r>
            <w:r>
              <w:rPr>
                <w:rFonts w:hint="eastAsia" w:ascii="宋体" w:hAnsi="宋体" w:cs="宋体"/>
                <w:kern w:val="0"/>
                <w:sz w:val="25"/>
                <w:szCs w:val="25"/>
                <w:lang w:val="en-US" w:eastAsia="zh-CN"/>
              </w:rPr>
              <w:t>9</w:t>
            </w:r>
            <w:r>
              <w:rPr>
                <w:rFonts w:hint="eastAsia" w:ascii="宋体" w:hAnsi="宋体" w:cs="宋体"/>
                <w:kern w:val="0"/>
                <w:sz w:val="25"/>
                <w:szCs w:val="25"/>
              </w:rPr>
              <w:t>年</w:t>
            </w:r>
            <w:r>
              <w:rPr>
                <w:rFonts w:ascii="宋体" w:hAnsi="宋体" w:cs="宋体"/>
                <w:kern w:val="0"/>
                <w:sz w:val="25"/>
                <w:szCs w:val="25"/>
              </w:rPr>
              <w:t>1</w:t>
            </w:r>
            <w:r>
              <w:rPr>
                <w:rFonts w:hint="eastAsia" w:ascii="宋体" w:hAnsi="宋体" w:cs="宋体"/>
                <w:kern w:val="0"/>
                <w:sz w:val="25"/>
                <w:szCs w:val="25"/>
              </w:rPr>
              <w:t>月</w:t>
            </w:r>
            <w:r>
              <w:rPr>
                <w:rFonts w:ascii="宋体" w:hAnsi="宋体" w:cs="宋体"/>
                <w:kern w:val="0"/>
                <w:sz w:val="25"/>
                <w:szCs w:val="25"/>
              </w:rPr>
              <w:t>1</w:t>
            </w:r>
            <w:r>
              <w:rPr>
                <w:rFonts w:hint="eastAsia" w:ascii="宋体" w:hAnsi="宋体" w:cs="宋体"/>
                <w:kern w:val="0"/>
                <w:sz w:val="25"/>
                <w:szCs w:val="25"/>
              </w:rPr>
              <w:t>日以来的</w:t>
            </w:r>
            <w:r>
              <w:rPr>
                <w:rFonts w:hint="eastAsia" w:ascii="宋体" w:hAnsi="宋体" w:cs="宋体"/>
                <w:kern w:val="0"/>
                <w:sz w:val="25"/>
                <w:szCs w:val="25"/>
                <w:lang w:eastAsia="zh-CN"/>
              </w:rPr>
              <w:t>该</w:t>
            </w:r>
            <w:r>
              <w:rPr>
                <w:rFonts w:hint="eastAsia" w:ascii="宋体" w:hAnsi="宋体" w:cs="宋体"/>
                <w:kern w:val="0"/>
                <w:sz w:val="25"/>
                <w:szCs w:val="25"/>
              </w:rPr>
              <w:t>产品</w:t>
            </w:r>
            <w:r>
              <w:rPr>
                <w:rFonts w:hint="eastAsia" w:ascii="宋体" w:hAnsi="宋体" w:cs="宋体"/>
                <w:color w:val="000000" w:themeColor="text1"/>
                <w:kern w:val="0"/>
                <w:sz w:val="25"/>
                <w:szCs w:val="25"/>
                <w:lang w:eastAsia="zh-CN"/>
                <w14:textFill>
                  <w14:solidFill>
                    <w14:schemeClr w14:val="tx1"/>
                  </w14:solidFill>
                </w14:textFill>
              </w:rPr>
              <w:t>市场占有</w:t>
            </w:r>
            <w:r>
              <w:rPr>
                <w:rFonts w:hint="eastAsia" w:ascii="宋体" w:hAnsi="宋体" w:cs="宋体"/>
                <w:kern w:val="0"/>
                <w:sz w:val="25"/>
                <w:szCs w:val="25"/>
              </w:rPr>
              <w:t>证明（提供销售合同复印件和联系电话）</w:t>
            </w:r>
            <w:r>
              <w:rPr>
                <w:rFonts w:hint="eastAsia" w:ascii="宋体" w:hAnsi="宋体" w:cs="宋体"/>
                <w:kern w:val="0"/>
                <w:sz w:val="25"/>
                <w:szCs w:val="25"/>
                <w:lang w:eastAsia="zh-CN"/>
              </w:rPr>
              <w:t>，</w:t>
            </w:r>
            <w:r>
              <w:rPr>
                <w:rFonts w:hint="eastAsia" w:ascii="宋体" w:hAnsi="宋体" w:cs="宋体"/>
                <w:kern w:val="0"/>
                <w:sz w:val="25"/>
                <w:szCs w:val="25"/>
              </w:rPr>
              <w:t>每一份</w:t>
            </w:r>
            <w:r>
              <w:rPr>
                <w:rFonts w:hint="eastAsia" w:ascii="宋体" w:hAnsi="宋体" w:cs="宋体"/>
                <w:kern w:val="0"/>
                <w:sz w:val="25"/>
                <w:szCs w:val="25"/>
                <w:lang w:eastAsia="zh-CN"/>
              </w:rPr>
              <w:t>合同中体现本次招标</w:t>
            </w:r>
            <w:r>
              <w:rPr>
                <w:rFonts w:hint="eastAsia" w:ascii="宋体" w:hAnsi="宋体" w:cs="宋体"/>
                <w:kern w:val="0"/>
                <w:sz w:val="25"/>
                <w:szCs w:val="25"/>
              </w:rPr>
              <w:t>设备</w:t>
            </w:r>
            <w:r>
              <w:rPr>
                <w:rFonts w:hint="eastAsia" w:ascii="宋体" w:hAnsi="宋体" w:cs="宋体"/>
                <w:kern w:val="0"/>
                <w:sz w:val="25"/>
                <w:szCs w:val="25"/>
                <w:lang w:eastAsia="zh-CN"/>
              </w:rPr>
              <w:t>的</w:t>
            </w:r>
            <w:r>
              <w:rPr>
                <w:rFonts w:hint="eastAsia" w:ascii="宋体" w:hAnsi="宋体" w:cs="宋体"/>
                <w:kern w:val="0"/>
                <w:sz w:val="25"/>
                <w:szCs w:val="25"/>
              </w:rPr>
              <w:t>得</w:t>
            </w:r>
            <w:r>
              <w:rPr>
                <w:rFonts w:hint="eastAsia" w:ascii="宋体" w:hAnsi="宋体" w:cs="宋体"/>
                <w:kern w:val="0"/>
                <w:sz w:val="25"/>
                <w:szCs w:val="25"/>
                <w:lang w:val="en-US" w:eastAsia="zh-CN"/>
              </w:rPr>
              <w:t>1</w:t>
            </w:r>
            <w:r>
              <w:rPr>
                <w:rFonts w:hint="eastAsia" w:ascii="宋体" w:hAnsi="宋体" w:cs="宋体"/>
                <w:kern w:val="0"/>
                <w:sz w:val="25"/>
                <w:szCs w:val="25"/>
              </w:rPr>
              <w:t>分，没有的</w:t>
            </w:r>
            <w:r>
              <w:rPr>
                <w:rFonts w:ascii="宋体" w:hAnsi="宋体" w:cs="宋体"/>
                <w:kern w:val="0"/>
                <w:sz w:val="25"/>
                <w:szCs w:val="25"/>
              </w:rPr>
              <w:t>0</w:t>
            </w:r>
            <w:r>
              <w:rPr>
                <w:rFonts w:hint="eastAsia" w:ascii="宋体" w:hAnsi="宋体" w:cs="宋体"/>
                <w:kern w:val="0"/>
                <w:sz w:val="25"/>
                <w:szCs w:val="25"/>
              </w:rPr>
              <w:t>分，最高的</w:t>
            </w:r>
            <w:r>
              <w:rPr>
                <w:rFonts w:hint="eastAsia" w:ascii="宋体" w:hAnsi="宋体" w:cs="宋体"/>
                <w:kern w:val="0"/>
                <w:sz w:val="25"/>
                <w:szCs w:val="25"/>
                <w:lang w:val="en-US" w:eastAsia="zh-CN"/>
              </w:rPr>
              <w:t>4</w:t>
            </w:r>
            <w:r>
              <w:rPr>
                <w:rFonts w:hint="eastAsia" w:ascii="宋体" w:hAnsi="宋体" w:cs="宋体"/>
                <w:kern w:val="0"/>
                <w:sz w:val="25"/>
                <w:szCs w:val="25"/>
              </w:rPr>
              <w:t>分。</w:t>
            </w:r>
          </w:p>
        </w:tc>
      </w:tr>
      <w:tr>
        <w:tblPrEx>
          <w:tblCellMar>
            <w:top w:w="0" w:type="dxa"/>
            <w:left w:w="108" w:type="dxa"/>
            <w:bottom w:w="0" w:type="dxa"/>
            <w:right w:w="108" w:type="dxa"/>
          </w:tblCellMar>
        </w:tblPrEx>
        <w:trPr>
          <w:trHeight w:val="772"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8</w:t>
            </w:r>
          </w:p>
        </w:tc>
        <w:tc>
          <w:tcPr>
            <w:tcW w:w="1303"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培训</w:t>
            </w:r>
          </w:p>
        </w:tc>
        <w:tc>
          <w:tcPr>
            <w:tcW w:w="757" w:type="dxa"/>
            <w:tcBorders>
              <w:top w:val="nil"/>
              <w:left w:val="nil"/>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4</w:t>
            </w:r>
          </w:p>
        </w:tc>
        <w:tc>
          <w:tcPr>
            <w:tcW w:w="5467" w:type="dxa"/>
            <w:tcBorders>
              <w:top w:val="nil"/>
              <w:left w:val="nil"/>
              <w:bottom w:val="single" w:color="auto" w:sz="4" w:space="0"/>
              <w:right w:val="single" w:color="auto" w:sz="4" w:space="0"/>
            </w:tcBorders>
            <w:vAlign w:val="center"/>
          </w:tcPr>
          <w:p>
            <w:pPr>
              <w:widowControl/>
              <w:ind w:left="0" w:firstLine="0" w:firstLineChars="0"/>
              <w:jc w:val="left"/>
              <w:rPr>
                <w:rFonts w:ascii="宋体" w:cs="宋体"/>
                <w:kern w:val="0"/>
                <w:sz w:val="25"/>
                <w:szCs w:val="25"/>
              </w:rPr>
            </w:pPr>
            <w:r>
              <w:rPr>
                <w:rFonts w:hint="eastAsia" w:ascii="宋体" w:hAnsi="宋体" w:cs="宋体"/>
                <w:kern w:val="0"/>
                <w:sz w:val="25"/>
                <w:szCs w:val="25"/>
              </w:rPr>
              <w:t>现场对医师培训得2分，对工程师培训得2分，无培训得0分。</w:t>
            </w:r>
          </w:p>
        </w:tc>
      </w:tr>
      <w:tr>
        <w:tblPrEx>
          <w:tblCellMar>
            <w:top w:w="0" w:type="dxa"/>
            <w:left w:w="108" w:type="dxa"/>
            <w:bottom w:w="0" w:type="dxa"/>
            <w:right w:w="108" w:type="dxa"/>
          </w:tblCellMar>
        </w:tblPrEx>
        <w:trPr>
          <w:trHeight w:val="528" w:hRule="atLeast"/>
        </w:trPr>
        <w:tc>
          <w:tcPr>
            <w:tcW w:w="760" w:type="dxa"/>
            <w:tcBorders>
              <w:top w:val="nil"/>
              <w:left w:val="single" w:color="auto" w:sz="4" w:space="0"/>
              <w:bottom w:val="single" w:color="auto" w:sz="4" w:space="0"/>
              <w:right w:val="single" w:color="auto" w:sz="4" w:space="0"/>
            </w:tcBorders>
            <w:vAlign w:val="center"/>
          </w:tcPr>
          <w:p>
            <w:pPr>
              <w:widowControl/>
              <w:ind w:left="0" w:firstLine="0" w:firstLineChars="0"/>
              <w:jc w:val="center"/>
              <w:rPr>
                <w:rFonts w:hint="default" w:ascii="宋体" w:eastAsia="宋体" w:cs="宋体"/>
                <w:kern w:val="0"/>
                <w:sz w:val="25"/>
                <w:szCs w:val="25"/>
                <w:lang w:val="en-US" w:eastAsia="zh-CN"/>
              </w:rPr>
            </w:pPr>
            <w:r>
              <w:rPr>
                <w:rFonts w:hint="eastAsia" w:ascii="宋体" w:cs="宋体"/>
                <w:kern w:val="0"/>
                <w:sz w:val="25"/>
                <w:szCs w:val="25"/>
                <w:lang w:val="en-US" w:eastAsia="zh-CN"/>
              </w:rPr>
              <w:t>9</w:t>
            </w:r>
          </w:p>
        </w:tc>
        <w:tc>
          <w:tcPr>
            <w:tcW w:w="1303"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合计</w:t>
            </w:r>
          </w:p>
        </w:tc>
        <w:tc>
          <w:tcPr>
            <w:tcW w:w="757"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ascii="宋体" w:hAnsi="宋体" w:cs="宋体"/>
                <w:kern w:val="0"/>
                <w:sz w:val="25"/>
                <w:szCs w:val="25"/>
              </w:rPr>
              <w:t>100</w:t>
            </w:r>
          </w:p>
        </w:tc>
        <w:tc>
          <w:tcPr>
            <w:tcW w:w="5467" w:type="dxa"/>
            <w:tcBorders>
              <w:top w:val="nil"/>
              <w:left w:val="nil"/>
              <w:bottom w:val="single" w:color="auto" w:sz="4" w:space="0"/>
              <w:right w:val="single" w:color="auto" w:sz="4" w:space="0"/>
            </w:tcBorders>
            <w:vAlign w:val="center"/>
          </w:tcPr>
          <w:p>
            <w:pPr>
              <w:widowControl/>
              <w:ind w:left="0" w:firstLine="0" w:firstLineChars="0"/>
              <w:jc w:val="center"/>
              <w:rPr>
                <w:rFonts w:ascii="宋体" w:cs="宋体"/>
                <w:kern w:val="0"/>
                <w:sz w:val="25"/>
                <w:szCs w:val="25"/>
              </w:rPr>
            </w:pPr>
            <w:r>
              <w:rPr>
                <w:rFonts w:hint="eastAsia" w:ascii="宋体" w:hAnsi="宋体" w:cs="宋体"/>
                <w:kern w:val="0"/>
                <w:sz w:val="25"/>
                <w:szCs w:val="25"/>
              </w:rPr>
              <w:t>　</w:t>
            </w:r>
          </w:p>
        </w:tc>
      </w:tr>
    </w:tbl>
    <w:p>
      <w:pPr>
        <w:pStyle w:val="9"/>
        <w:snapToGrid w:val="0"/>
        <w:spacing w:line="360" w:lineRule="auto"/>
        <w:jc w:val="left"/>
        <w:rPr>
          <w:rFonts w:hint="eastAsia" w:asciiTheme="minorEastAsia" w:hAnsiTheme="minorEastAsia" w:cstheme="minorEastAsia"/>
          <w:sz w:val="28"/>
          <w:szCs w:val="28"/>
        </w:rPr>
      </w:pPr>
    </w:p>
    <w:p>
      <w:pPr>
        <w:keepNext w:val="0"/>
        <w:keepLines w:val="0"/>
        <w:pageBreakBefore w:val="0"/>
        <w:numPr>
          <w:ilvl w:val="0"/>
          <w:numId w:val="0"/>
        </w:numPr>
        <w:kinsoku/>
        <w:wordWrap/>
        <w:overflowPunct/>
        <w:topLinePunct w:val="0"/>
        <w:bidi w:val="0"/>
        <w:spacing w:beforeAutospacing="0" w:afterAutospacing="0" w:line="36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定标</w:t>
      </w:r>
    </w:p>
    <w:p>
      <w:pPr>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sz w:val="28"/>
          <w:szCs w:val="28"/>
        </w:rPr>
        <w:t>根据</w:t>
      </w:r>
      <w:r>
        <w:rPr>
          <w:rFonts w:hint="eastAsia" w:asciiTheme="minorEastAsia" w:hAnsiTheme="minorEastAsia" w:eastAsiaTheme="minorEastAsia" w:cstheme="minorEastAsia"/>
          <w:sz w:val="28"/>
          <w:szCs w:val="28"/>
          <w:lang w:eastAsia="zh-CN"/>
        </w:rPr>
        <w:t>评标委员会</w:t>
      </w:r>
      <w:r>
        <w:rPr>
          <w:rFonts w:hint="eastAsia" w:asciiTheme="minorEastAsia" w:hAnsiTheme="minorEastAsia" w:eastAsiaTheme="minorEastAsia" w:cstheme="minorEastAsia"/>
          <w:sz w:val="28"/>
          <w:szCs w:val="28"/>
        </w:rPr>
        <w:t>推荐的中标候选人，</w:t>
      </w:r>
      <w:r>
        <w:rPr>
          <w:rFonts w:hint="eastAsia" w:asciiTheme="minorEastAsia" w:hAnsiTheme="minorEastAsia" w:eastAsiaTheme="minorEastAsia" w:cstheme="minorEastAsia"/>
          <w:color w:val="auto"/>
          <w:sz w:val="28"/>
          <w:szCs w:val="28"/>
          <w:lang w:eastAsia="zh-CN"/>
        </w:rPr>
        <w:t>由招标人</w:t>
      </w:r>
      <w:r>
        <w:rPr>
          <w:rFonts w:hint="eastAsia" w:asciiTheme="minorEastAsia" w:hAnsiTheme="minorEastAsia" w:eastAsiaTheme="minorEastAsia" w:cstheme="minorEastAsia"/>
          <w:color w:val="auto"/>
          <w:sz w:val="28"/>
          <w:szCs w:val="28"/>
        </w:rPr>
        <w:t>确定中标单位，公示</w:t>
      </w:r>
      <w:r>
        <w:rPr>
          <w:rFonts w:hint="eastAsia" w:asciiTheme="minorEastAsia" w:hAnsiTheme="minorEastAsia" w:eastAsiaTheme="minorEastAsia" w:cstheme="minorEastAsia"/>
          <w:color w:val="auto"/>
          <w:sz w:val="28"/>
          <w:szCs w:val="28"/>
          <w:lang w:eastAsia="zh-CN"/>
        </w:rPr>
        <w:t>结</w:t>
      </w:r>
    </w:p>
    <w:p>
      <w:pPr>
        <w:snapToGrid w:val="0"/>
        <w:spacing w:line="360" w:lineRule="auto"/>
        <w:jc w:val="left"/>
        <w:rPr>
          <w:rFonts w:hint="eastAsia" w:ascii="华文仿宋" w:hAnsi="华文仿宋" w:cs="宋体"/>
          <w:color w:val="auto"/>
          <w:sz w:val="28"/>
          <w:szCs w:val="28"/>
        </w:rPr>
      </w:pPr>
      <w:r>
        <w:rPr>
          <w:rFonts w:hint="eastAsia" w:asciiTheme="minorEastAsia" w:hAnsiTheme="minorEastAsia" w:eastAsiaTheme="minorEastAsia" w:cstheme="minorEastAsia"/>
          <w:color w:val="auto"/>
          <w:sz w:val="28"/>
          <w:szCs w:val="28"/>
          <w:lang w:eastAsia="zh-CN"/>
        </w:rPr>
        <w:t>束</w:t>
      </w:r>
      <w:r>
        <w:rPr>
          <w:rFonts w:hint="eastAsia" w:asciiTheme="minorEastAsia" w:hAnsiTheme="minorEastAsia" w:eastAsiaTheme="minorEastAsia" w:cstheme="minorEastAsia"/>
          <w:color w:val="auto"/>
          <w:sz w:val="28"/>
          <w:szCs w:val="28"/>
        </w:rPr>
        <w:t>后发出中标通知书。</w:t>
      </w:r>
    </w:p>
    <w:p>
      <w:pPr>
        <w:snapToGrid w:val="0"/>
        <w:spacing w:line="360" w:lineRule="auto"/>
        <w:jc w:val="left"/>
        <w:rPr>
          <w:rFonts w:hint="eastAsia" w:ascii="华文仿宋" w:hAnsi="华文仿宋" w:cs="宋体"/>
          <w:color w:val="000000"/>
          <w:sz w:val="28"/>
          <w:szCs w:val="28"/>
        </w:rPr>
      </w:pPr>
    </w:p>
    <w:p>
      <w:pPr>
        <w:pStyle w:val="10"/>
        <w:ind w:left="0" w:leftChars="0" w:firstLine="0" w:firstLineChars="0"/>
        <w:rPr>
          <w:rFonts w:hint="eastAsia" w:ascii="华文仿宋" w:hAnsi="华文仿宋" w:cs="宋体"/>
          <w:color w:val="000000"/>
          <w:sz w:val="28"/>
          <w:szCs w:val="28"/>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附件（一）</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我们已全面研究了“</w:t>
      </w:r>
      <w:r>
        <w:rPr>
          <w:rFonts w:hint="eastAsia" w:asciiTheme="minorEastAsia" w:hAnsiTheme="minorEastAsia" w:eastAsiaTheme="minorEastAsia" w:cstheme="minorEastAsia"/>
          <w:sz w:val="28"/>
          <w:szCs w:val="28"/>
          <w:lang w:eastAsia="zh-CN"/>
        </w:rPr>
        <w:t>淮北市</w:t>
      </w:r>
      <w:r>
        <w:rPr>
          <w:rFonts w:hint="eastAsia" w:asciiTheme="minorEastAsia" w:hAnsiTheme="minorEastAsia" w:eastAsiaTheme="minorEastAsia" w:cstheme="minorEastAsia"/>
          <w:sz w:val="28"/>
          <w:szCs w:val="28"/>
        </w:rPr>
        <w:t>相王医药</w:t>
      </w:r>
      <w:r>
        <w:rPr>
          <w:rFonts w:hint="eastAsia" w:asciiTheme="minorEastAsia" w:hAnsiTheme="minorEastAsia" w:eastAsiaTheme="minorEastAsia" w:cstheme="minorEastAsia"/>
          <w:sz w:val="28"/>
          <w:szCs w:val="28"/>
          <w:lang w:eastAsia="zh-CN"/>
        </w:rPr>
        <w:t>设备</w:t>
      </w:r>
      <w:r>
        <w:rPr>
          <w:rFonts w:hint="eastAsia" w:asciiTheme="minorEastAsia" w:hAnsiTheme="minorEastAsia" w:eastAsiaTheme="minorEastAsia" w:cstheme="minorEastAsia"/>
          <w:sz w:val="28"/>
          <w:szCs w:val="28"/>
        </w:rPr>
        <w:t>采购招标文件”，并熟知招标文件的各项规定，我方同意按招标文件规定的全部条件投标。投标报价如下：</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投标报价：人民币</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元（价款大写）</w:t>
      </w:r>
    </w:p>
    <w:p>
      <w:pPr>
        <w:keepNext w:val="0"/>
        <w:keepLines w:val="0"/>
        <w:pageBreakBefore w:val="0"/>
        <w:kinsoku/>
        <w:wordWrap/>
        <w:overflowPunct/>
        <w:topLinePunct w:val="0"/>
        <w:bidi w:val="0"/>
        <w:snapToGrid w:val="0"/>
        <w:spacing w:beforeAutospacing="0" w:afterAutospacing="0" w:line="360" w:lineRule="auto"/>
        <w:ind w:left="1662" w:leftChars="266" w:hanging="1103" w:hangingChars="3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我方承诺产品的</w:t>
      </w:r>
      <w:r>
        <w:rPr>
          <w:rFonts w:hint="eastAsia" w:asciiTheme="minorEastAsia" w:hAnsiTheme="minorEastAsia" w:eastAsiaTheme="minorEastAsia" w:cstheme="minorEastAsia"/>
          <w:sz w:val="28"/>
          <w:szCs w:val="28"/>
        </w:rPr>
        <w:t>供货日期</w:t>
      </w:r>
      <w:r>
        <w:rPr>
          <w:rFonts w:hint="eastAsia" w:asciiTheme="minorEastAsia" w:hAnsiTheme="minorEastAsia" w:eastAsiaTheme="minorEastAsia" w:cstheme="minorEastAsia"/>
          <w:sz w:val="28"/>
          <w:szCs w:val="28"/>
          <w:lang w:eastAsia="zh-CN"/>
        </w:rPr>
        <w:t>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天（指供应货物全部运至指定交</w:t>
      </w:r>
    </w:p>
    <w:p>
      <w:pPr>
        <w:keepNext w:val="0"/>
        <w:keepLines w:val="0"/>
        <w:pageBreakBefore w:val="0"/>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货地点的时间</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要求报最短交货期）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交货地点：淮北</w:t>
      </w:r>
      <w:r>
        <w:rPr>
          <w:rFonts w:hint="eastAsia" w:asciiTheme="minorEastAsia" w:hAnsiTheme="minorEastAsia" w:eastAsiaTheme="minorEastAsia" w:cstheme="minorEastAsia"/>
          <w:sz w:val="28"/>
          <w:szCs w:val="28"/>
          <w:lang w:eastAsia="zh-CN"/>
        </w:rPr>
        <w:t>市职业病防治院西区，</w:t>
      </w:r>
      <w:r>
        <w:rPr>
          <w:rFonts w:hint="eastAsia" w:asciiTheme="minorEastAsia" w:hAnsiTheme="minorEastAsia" w:eastAsiaTheme="minorEastAsia" w:cstheme="minorEastAsia"/>
          <w:sz w:val="28"/>
          <w:szCs w:val="28"/>
        </w:rPr>
        <w:t>安徽省淮北市</w:t>
      </w:r>
      <w:r>
        <w:rPr>
          <w:rFonts w:hint="eastAsia" w:asciiTheme="minorEastAsia" w:hAnsiTheme="minorEastAsia" w:eastAsiaTheme="minorEastAsia" w:cstheme="minorEastAsia"/>
          <w:sz w:val="28"/>
          <w:szCs w:val="28"/>
          <w:lang w:eastAsia="zh-CN"/>
        </w:rPr>
        <w:t>孟</w:t>
      </w:r>
      <w:r>
        <w:rPr>
          <w:rFonts w:hint="eastAsia" w:asciiTheme="minorEastAsia" w:hAnsiTheme="minorEastAsia" w:eastAsiaTheme="minorEastAsia" w:cstheme="minorEastAsia"/>
          <w:sz w:val="28"/>
          <w:szCs w:val="28"/>
        </w:rPr>
        <w:t>山北路</w:t>
      </w:r>
      <w:r>
        <w:rPr>
          <w:rFonts w:hint="eastAsia" w:asciiTheme="minorEastAsia" w:hAnsiTheme="minorEastAsia" w:eastAsiaTheme="minorEastAsia" w:cstheme="minorEastAsia"/>
          <w:sz w:val="28"/>
          <w:szCs w:val="28"/>
          <w:lang w:eastAsia="zh-CN"/>
        </w:rPr>
        <w:t>。</w:t>
      </w:r>
    </w:p>
    <w:p>
      <w:pPr>
        <w:keepNext w:val="0"/>
        <w:keepLines w:val="0"/>
        <w:pageBreakBefore w:val="0"/>
        <w:kinsoku/>
        <w:wordWrap/>
        <w:overflowPunct/>
        <w:topLinePunct w:val="0"/>
        <w:bidi w:val="0"/>
        <w:snapToGrid w:val="0"/>
        <w:spacing w:beforeAutospacing="0" w:afterAutospacing="0" w:line="360" w:lineRule="auto"/>
        <w:ind w:left="0" w:leftChars="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Theme="minorEastAsia" w:hAnsiTheme="minorEastAsia" w:eastAsiaTheme="minorEastAsia" w:cstheme="minorEastAsia"/>
          <w:sz w:val="28"/>
          <w:szCs w:val="28"/>
        </w:rPr>
        <w:t>我方一旦中标，将于收到中标通知书后的</w:t>
      </w:r>
      <w:r>
        <w:rPr>
          <w:rFonts w:hint="eastAsia" w:asciiTheme="minorEastAsia" w:hAnsiTheme="minorEastAsia" w:eastAsiaTheme="minorEastAsia" w:cstheme="minorEastAsia"/>
          <w:sz w:val="28"/>
          <w:szCs w:val="28"/>
          <w:lang w:val="en-US" w:eastAsia="zh-CN"/>
        </w:rPr>
        <w:t>15个工作</w:t>
      </w:r>
      <w:r>
        <w:rPr>
          <w:rFonts w:hint="eastAsia" w:asciiTheme="minorEastAsia" w:hAnsiTheme="minorEastAsia" w:eastAsiaTheme="minorEastAsia" w:cstheme="minorEastAsia"/>
          <w:sz w:val="28"/>
          <w:szCs w:val="28"/>
        </w:rPr>
        <w:t>日内与贵方签订供货合同。如逾期不派代表签约。贵单位有权</w:t>
      </w:r>
      <w:r>
        <w:rPr>
          <w:rFonts w:hint="eastAsia" w:asciiTheme="minorEastAsia" w:hAnsiTheme="minorEastAsia" w:eastAsiaTheme="minorEastAsia" w:cstheme="minorEastAsia"/>
          <w:sz w:val="28"/>
          <w:szCs w:val="28"/>
          <w:lang w:eastAsia="zh-CN"/>
        </w:rPr>
        <w:t>不予退还</w:t>
      </w:r>
      <w:r>
        <w:rPr>
          <w:rFonts w:hint="eastAsia" w:asciiTheme="minorEastAsia" w:hAnsiTheme="minorEastAsia" w:eastAsiaTheme="minorEastAsia" w:cstheme="minorEastAsia"/>
          <w:sz w:val="28"/>
          <w:szCs w:val="28"/>
        </w:rPr>
        <w:t>投标保证金，并视为我方自动放弃中标资格。</w:t>
      </w:r>
    </w:p>
    <w:p>
      <w:pPr>
        <w:snapToGrid w:val="0"/>
        <w:spacing w:line="360" w:lineRule="auto"/>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我方理解，如我方未中标，贵方有权不作任何解释。</w:t>
      </w:r>
    </w:p>
    <w:p>
      <w:pPr>
        <w:keepNext w:val="0"/>
        <w:keepLines w:val="0"/>
        <w:pageBreakBefore w:val="0"/>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本投标书在开标后的</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0日内有效，在合同未签订前，</w:t>
      </w:r>
      <w:r>
        <w:rPr>
          <w:rFonts w:hint="eastAsia" w:ascii="宋体" w:hAnsi="宋体"/>
          <w:sz w:val="28"/>
          <w:szCs w:val="28"/>
        </w:rPr>
        <w:t>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w:t>
      </w:r>
      <w:r>
        <w:rPr>
          <w:rFonts w:hint="eastAsia" w:asciiTheme="minorEastAsia" w:hAnsiTheme="minorEastAsia" w:eastAsiaTheme="minorEastAsia" w:cstheme="minorEastAsia"/>
          <w:sz w:val="28"/>
          <w:szCs w:val="28"/>
        </w:rPr>
        <w:t>将构成约束贵我双方的协议。</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宋体" w:hAnsi="宋体"/>
          <w:sz w:val="28"/>
          <w:szCs w:val="28"/>
        </w:rPr>
      </w:pPr>
      <w:r>
        <w:rPr>
          <w:rFonts w:hint="eastAsia" w:asciiTheme="minorEastAsia" w:hAnsiTheme="minorEastAsia" w:eastAsiaTheme="minorEastAsia" w:cstheme="minorEastAsia"/>
          <w:sz w:val="28"/>
          <w:szCs w:val="28"/>
        </w:rPr>
        <w:t>投标人公章</w:t>
      </w:r>
      <w:r>
        <w:rPr>
          <w:rFonts w:hint="eastAsia" w:asciiTheme="minorEastAsia" w:hAnsiTheme="minorEastAsia" w:eastAsiaTheme="minorEastAsia" w:cstheme="minorEastAsia"/>
          <w:sz w:val="28"/>
          <w:szCs w:val="28"/>
          <w:lang w:eastAsia="zh-CN"/>
        </w:rPr>
        <w:t>：</w:t>
      </w:r>
    </w:p>
    <w:p>
      <w:pPr>
        <w:pStyle w:val="4"/>
        <w:spacing w:line="500" w:lineRule="exact"/>
        <w:ind w:left="0"/>
        <w:jc w:val="left"/>
        <w:rPr>
          <w:rFonts w:ascii="宋体" w:hAns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4"/>
        <w:spacing w:line="500" w:lineRule="exact"/>
        <w:ind w:left="0"/>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p>
    <w:p>
      <w:pPr>
        <w:pStyle w:val="4"/>
        <w:spacing w:line="500" w:lineRule="exact"/>
        <w:ind w:left="0"/>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传  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4"/>
        <w:spacing w:line="500" w:lineRule="exact"/>
        <w:ind w:left="0"/>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jc w:val="right"/>
        <w:rPr>
          <w:rFonts w:hint="eastAsia" w:asciiTheme="minorEastAsia" w:hAnsiTheme="minorEastAsia" w:eastAsiaTheme="minorEastAsia" w:cstheme="minorEastAsia"/>
          <w:b/>
          <w:bCs/>
          <w:sz w:val="28"/>
          <w:szCs w:val="28"/>
          <w:lang w:eastAsia="zh-CN"/>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附件（二）</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投标设备报价汇总表</w:t>
      </w:r>
    </w:p>
    <w:tbl>
      <w:tblPr>
        <w:tblStyle w:val="11"/>
        <w:tblW w:w="97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5"/>
        <w:gridCol w:w="1403"/>
        <w:gridCol w:w="947"/>
        <w:gridCol w:w="950"/>
        <w:gridCol w:w="1383"/>
        <w:gridCol w:w="1448"/>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7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35"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40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0" w:firstLine="0" w:firstLine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38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单价（元）</w:t>
            </w:r>
          </w:p>
        </w:tc>
        <w:tc>
          <w:tcPr>
            <w:tcW w:w="144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金额（元）</w:t>
            </w:r>
          </w:p>
        </w:tc>
        <w:tc>
          <w:tcPr>
            <w:tcW w:w="1381"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35"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0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4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3"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4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381"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2838" w:type="dxa"/>
            <w:gridSpan w:val="2"/>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合计金额（元）</w:t>
            </w:r>
          </w:p>
        </w:tc>
        <w:tc>
          <w:tcPr>
            <w:tcW w:w="6109" w:type="dxa"/>
            <w:gridSpan w:val="5"/>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说明：1、本表的“合计金额”为最终报价。</w:t>
      </w:r>
    </w:p>
    <w:p>
      <w:pPr>
        <w:keepNext w:val="0"/>
        <w:keepLines w:val="0"/>
        <w:pageBreakBefore w:val="0"/>
        <w:kinsoku/>
        <w:wordWrap/>
        <w:overflowPunct/>
        <w:topLinePunct w:val="0"/>
        <w:bidi w:val="0"/>
        <w:snapToGrid w:val="0"/>
        <w:spacing w:beforeAutospacing="0" w:afterAutospacing="0" w:line="360" w:lineRule="auto"/>
        <w:ind w:left="687" w:leftChars="327" w:firstLine="137" w:firstLineChars="49"/>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2、本表“合计金额”须与“投标报价函”中对应包的“投标报价”相同。</w:t>
      </w:r>
    </w:p>
    <w:p>
      <w:pPr>
        <w:pStyle w:val="14"/>
        <w:keepNext w:val="0"/>
        <w:keepLines w:val="0"/>
        <w:pageBreakBefore w:val="0"/>
        <w:kinsoku/>
        <w:wordWrap/>
        <w:overflowPunct/>
        <w:topLinePunct w:val="0"/>
        <w:bidi w:val="0"/>
        <w:snapToGrid w:val="0"/>
        <w:spacing w:beforeAutospacing="0" w:afterAutospacing="0" w:line="360" w:lineRule="auto"/>
        <w:ind w:left="805" w:firstLine="0" w:firstLineChars="0"/>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3、本项和以下各项的“设备名称”要按照“第</w:t>
      </w:r>
      <w:r>
        <w:rPr>
          <w:rFonts w:hint="eastAsia" w:asciiTheme="minorEastAsia" w:hAnsiTheme="minorEastAsia" w:eastAsiaTheme="minorEastAsia" w:cstheme="minorEastAsia"/>
          <w:b w:val="0"/>
          <w:bCs w:val="0"/>
          <w:sz w:val="28"/>
          <w:szCs w:val="28"/>
          <w:lang w:eastAsia="zh-CN"/>
        </w:rPr>
        <w:t>二</w:t>
      </w:r>
      <w:r>
        <w:rPr>
          <w:rFonts w:hint="eastAsia" w:asciiTheme="minorEastAsia" w:hAnsiTheme="minorEastAsia" w:eastAsiaTheme="minorEastAsia" w:cstheme="minorEastAsia"/>
          <w:b w:val="0"/>
          <w:bCs w:val="0"/>
          <w:sz w:val="28"/>
          <w:szCs w:val="28"/>
        </w:rPr>
        <w:t>部分，设备采购内容及技术要求。</w:t>
      </w:r>
      <w:r>
        <w:rPr>
          <w:rFonts w:hint="eastAsia" w:asciiTheme="minorEastAsia" w:hAnsiTheme="minorEastAsia" w:eastAsiaTheme="minorEastAsia" w:cstheme="minorEastAsia"/>
          <w:b w:val="0"/>
          <w:bCs w:val="0"/>
          <w:sz w:val="28"/>
          <w:szCs w:val="28"/>
          <w:lang w:eastAsia="zh-CN"/>
        </w:rPr>
        <w:t>设备</w:t>
      </w:r>
      <w:r>
        <w:rPr>
          <w:rFonts w:hint="eastAsia" w:asciiTheme="minorEastAsia" w:hAnsiTheme="minorEastAsia" w:eastAsiaTheme="minorEastAsia" w:cstheme="minorEastAsia"/>
          <w:b w:val="0"/>
          <w:bCs w:val="0"/>
          <w:sz w:val="28"/>
          <w:szCs w:val="28"/>
        </w:rPr>
        <w:t>采购清单” 顺序号填写。</w:t>
      </w: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1954" w:leftChars="269" w:hanging="1389" w:hangingChars="494"/>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附件（三）</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投标设备备品、备件及专用工具清单</w:t>
      </w:r>
    </w:p>
    <w:tbl>
      <w:tblPr>
        <w:tblStyle w:val="11"/>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6"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2"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94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8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5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val="0"/>
          <w:bCs w:val="0"/>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附件（四）</w:t>
      </w:r>
    </w:p>
    <w:p>
      <w:pPr>
        <w:keepNext w:val="0"/>
        <w:keepLines w:val="0"/>
        <w:pageBreakBefore w:val="0"/>
        <w:kinsoku/>
        <w:wordWrap/>
        <w:overflowPunct/>
        <w:topLinePunct w:val="0"/>
        <w:bidi w:val="0"/>
        <w:snapToGrid w:val="0"/>
        <w:spacing w:beforeAutospacing="0" w:afterAutospacing="0" w:line="360" w:lineRule="auto"/>
        <w:ind w:left="31680" w:hanging="826" w:hangingChars="294"/>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投标报价中不包含的易损件报价表</w:t>
      </w:r>
    </w:p>
    <w:tbl>
      <w:tblPr>
        <w:tblStyle w:val="11"/>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4"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10" w:type="dxa"/>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84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627"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33"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992"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9" w:type="dxa"/>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31680" w:hanging="823" w:hangingChars="294"/>
        <w:jc w:val="left"/>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adjustRightInd w:val="0"/>
        <w:snapToGrid w:val="0"/>
        <w:spacing w:line="288" w:lineRule="auto"/>
        <w:ind w:left="0" w:leftChars="0" w:firstLine="0" w:firstLineChars="0"/>
        <w:jc w:val="left"/>
        <w:rPr>
          <w:rFonts w:ascii="Calibri" w:hAnsi="Calibri"/>
          <w:b/>
          <w:bCs/>
          <w:sz w:val="24"/>
          <w:u w:val="single"/>
        </w:rPr>
      </w:pPr>
      <w:r>
        <w:rPr>
          <w:rFonts w:hint="eastAsia" w:ascii="Calibri" w:hAnsi="Calibri"/>
          <w:b/>
          <w:bCs/>
          <w:sz w:val="28"/>
        </w:rPr>
        <w:t>附件（</w:t>
      </w:r>
      <w:r>
        <w:rPr>
          <w:rFonts w:hint="eastAsia"/>
          <w:b/>
          <w:bCs/>
          <w:sz w:val="28"/>
          <w:lang w:eastAsia="zh-CN"/>
        </w:rPr>
        <w:t>五</w:t>
      </w:r>
      <w:r>
        <w:rPr>
          <w:rFonts w:hint="eastAsia" w:ascii="Calibri" w:hAnsi="Calibri"/>
          <w:b/>
          <w:bCs/>
          <w:sz w:val="28"/>
        </w:rPr>
        <w:t>）</w:t>
      </w:r>
    </w:p>
    <w:p>
      <w:pPr>
        <w:adjustRightInd w:val="0"/>
        <w:snapToGrid w:val="0"/>
        <w:spacing w:line="288" w:lineRule="auto"/>
        <w:ind w:firstLine="480"/>
        <w:jc w:val="left"/>
        <w:rPr>
          <w:rFonts w:ascii="Calibri" w:hAnsi="Calibri"/>
          <w:b/>
          <w:bCs/>
          <w:sz w:val="28"/>
        </w:rPr>
      </w:pPr>
    </w:p>
    <w:p>
      <w:pPr>
        <w:pStyle w:val="4"/>
        <w:spacing w:line="500" w:lineRule="exact"/>
        <w:ind w:left="0"/>
        <w:jc w:val="center"/>
        <w:rPr>
          <w:rFonts w:ascii="宋体" w:hAnsi="宋体" w:eastAsia="宋体"/>
          <w:b/>
          <w:sz w:val="36"/>
          <w:szCs w:val="36"/>
        </w:rPr>
      </w:pPr>
      <w:r>
        <w:rPr>
          <w:rFonts w:hint="eastAsia" w:ascii="宋体" w:hAnsi="宋体" w:eastAsia="宋体"/>
          <w:b/>
          <w:sz w:val="36"/>
          <w:szCs w:val="36"/>
        </w:rPr>
        <w:t>法定代表人身份证明书</w:t>
      </w:r>
    </w:p>
    <w:p>
      <w:pPr>
        <w:pStyle w:val="4"/>
        <w:spacing w:line="500" w:lineRule="exact"/>
        <w:ind w:left="0"/>
        <w:rPr>
          <w:rFonts w:ascii="宋体" w:hAnsi="宋体" w:eastAsia="宋体"/>
          <w:b/>
          <w:sz w:val="28"/>
          <w:szCs w:val="28"/>
        </w:rPr>
      </w:pPr>
      <w:r>
        <w:rPr>
          <w:rFonts w:ascii="宋体" w:hAnsi="宋体" w:eastAsia="宋体"/>
          <w:sz w:val="28"/>
          <w:szCs w:val="28"/>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3" w:beforeLines="20" w:after="63" w:afterLines="20" w:line="500" w:lineRule="exact"/>
        <w:ind w:firstLine="610"/>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ind w:firstLine="610"/>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3" w:beforeLines="20" w:after="63" w:afterLines="20" w:line="500" w:lineRule="exact"/>
        <w:ind w:firstLine="610"/>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3" w:beforeLines="20" w:after="63" w:afterLines="20" w:line="500" w:lineRule="exact"/>
        <w:ind w:firstLine="610"/>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3" w:beforeLines="20" w:after="63" w:afterLines="20" w:line="500" w:lineRule="exact"/>
        <w:ind w:firstLine="610"/>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pStyle w:val="4"/>
        <w:spacing w:before="63" w:beforeLines="20" w:after="63" w:afterLines="20" w:line="500" w:lineRule="exact"/>
        <w:ind w:firstLine="280" w:firstLineChars="100"/>
        <w:rPr>
          <w:rFonts w:ascii="宋体"/>
          <w:sz w:val="28"/>
          <w:szCs w:val="28"/>
        </w:rPr>
      </w:pPr>
      <w:r>
        <w:rPr>
          <w:rFonts w:hint="eastAsia" w:ascii="宋体" w:hAnsi="宋体" w:eastAsia="宋体"/>
          <w:sz w:val="28"/>
          <w:szCs w:val="28"/>
        </w:rPr>
        <w:t>特此证明。</w:t>
      </w:r>
    </w:p>
    <w:p>
      <w:pPr>
        <w:tabs>
          <w:tab w:val="left" w:pos="720"/>
          <w:tab w:val="left" w:pos="900"/>
        </w:tabs>
        <w:spacing w:before="63" w:beforeLines="20" w:after="63" w:afterLines="20" w:line="500" w:lineRule="exact"/>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3" w:beforeLines="20" w:after="63" w:afterLines="20" w:line="500" w:lineRule="exact"/>
        <w:jc w:val="right"/>
        <w:rPr>
          <w:rFonts w:hint="eastAsia"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pacing w:before="63" w:beforeLines="20" w:after="63" w:afterLines="20" w:line="500" w:lineRule="exact"/>
        <w:jc w:val="right"/>
        <w:rPr>
          <w:rFonts w:hint="eastAsia" w:ascii="宋体" w:hAnsi="宋体"/>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w:t>
      </w:r>
      <w:r>
        <w:rPr>
          <w:rFonts w:hint="eastAsia" w:asciiTheme="minorEastAsia" w:hAnsiTheme="minorEastAsia" w:cstheme="minorEastAsia"/>
          <w:b/>
          <w:bCs/>
          <w:sz w:val="28"/>
          <w:szCs w:val="28"/>
          <w:lang w:eastAsia="zh-CN"/>
        </w:rPr>
        <w:t>六</w:t>
      </w:r>
      <w:r>
        <w:rPr>
          <w:rFonts w:hint="eastAsia" w:asciiTheme="minorEastAsia" w:hAnsiTheme="minorEastAsia" w:cstheme="minorEastAsia"/>
          <w:b/>
          <w:bCs/>
          <w:sz w:val="28"/>
          <w:szCs w:val="28"/>
        </w:rPr>
        <w:t>）</w:t>
      </w:r>
    </w:p>
    <w:p>
      <w:pPr>
        <w:pStyle w:val="4"/>
        <w:spacing w:line="500" w:lineRule="exact"/>
        <w:ind w:left="0"/>
        <w:jc w:val="center"/>
        <w:rPr>
          <w:rFonts w:ascii="宋体" w:hAnsi="宋体" w:eastAsia="宋体"/>
          <w:b/>
          <w:sz w:val="36"/>
          <w:szCs w:val="36"/>
        </w:rPr>
      </w:pPr>
      <w:r>
        <w:rPr>
          <w:rFonts w:hint="eastAsia" w:ascii="宋体" w:hAnsi="宋体" w:eastAsia="宋体"/>
          <w:b/>
          <w:sz w:val="36"/>
          <w:szCs w:val="36"/>
        </w:rPr>
        <w:t>法定代表人授权委托书</w:t>
      </w:r>
    </w:p>
    <w:p>
      <w:pPr>
        <w:pStyle w:val="4"/>
        <w:spacing w:line="500" w:lineRule="exact"/>
        <w:ind w:firstLine="560"/>
        <w:rPr>
          <w:rFonts w:ascii="宋体" w:hAnsi="宋体" w:eastAsia="宋体"/>
          <w:sz w:val="28"/>
          <w:szCs w:val="28"/>
        </w:rPr>
      </w:pPr>
    </w:p>
    <w:p>
      <w:pPr>
        <w:pStyle w:val="4"/>
        <w:spacing w:line="440" w:lineRule="exact"/>
        <w:ind w:left="0"/>
        <w:rPr>
          <w:rFonts w:hint="eastAsia" w:ascii="宋体" w:hAnsi="宋体" w:eastAsia="宋体" w:cs="宋体"/>
          <w:sz w:val="24"/>
          <w:lang w:eastAsia="zh-CN"/>
        </w:rPr>
      </w:pPr>
      <w:r>
        <w:rPr>
          <w:rFonts w:hint="eastAsia" w:ascii="宋体" w:hAnsi="宋体" w:eastAsia="宋体" w:cs="宋体"/>
          <w:sz w:val="24"/>
        </w:rPr>
        <w:t>致：</w:t>
      </w:r>
      <w:r>
        <w:rPr>
          <w:rFonts w:hint="eastAsia" w:ascii="宋体" w:hAnsi="宋体" w:cs="宋体"/>
          <w:sz w:val="24"/>
          <w:lang w:eastAsia="zh-CN"/>
        </w:rPr>
        <w:t>淮北市相王医药连锁有限公司</w:t>
      </w:r>
    </w:p>
    <w:p>
      <w:pPr>
        <w:pStyle w:val="6"/>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w:t>
      </w:r>
      <w:r>
        <w:rPr>
          <w:rFonts w:hint="eastAsia" w:ascii="宋体" w:hAnsi="宋体" w:cs="宋体"/>
          <w:sz w:val="24"/>
          <w:lang w:eastAsia="zh-CN"/>
        </w:rPr>
        <w:t>产</w:t>
      </w:r>
      <w:r>
        <w:rPr>
          <w:rFonts w:hint="eastAsia" w:ascii="宋体" w:hAnsi="宋体" w:cs="宋体"/>
          <w:sz w:val="24"/>
        </w:rPr>
        <w:t>品配送，以本公司的名义签署投标书，进行谈判、签署合同和处理与之有关的一切事宜。</w:t>
      </w:r>
    </w:p>
    <w:p>
      <w:pPr>
        <w:pStyle w:val="4"/>
        <w:adjustRightInd w:val="0"/>
        <w:snapToGrid w:val="0"/>
        <w:spacing w:line="440" w:lineRule="exact"/>
        <w:ind w:left="0"/>
        <w:rPr>
          <w:rFonts w:ascii="宋体" w:hAnsi="宋体" w:eastAsia="宋体" w:cs="宋体"/>
          <w:sz w:val="24"/>
        </w:rPr>
      </w:pPr>
      <w:r>
        <w:rPr>
          <w:rFonts w:hint="eastAsia" w:ascii="宋体" w:hAnsi="宋体" w:eastAsia="宋体" w:cs="宋体"/>
          <w:sz w:val="24"/>
        </w:rPr>
        <w:t>代理人无转委托权，特此委托。</w:t>
      </w:r>
    </w:p>
    <w:p>
      <w:pPr>
        <w:adjustRightInd w:val="0"/>
        <w:snapToGrid w:val="0"/>
        <w:spacing w:line="400" w:lineRule="exact"/>
        <w:rPr>
          <w:rFonts w:ascii="宋体" w:cs="宋体"/>
          <w:sz w:val="24"/>
        </w:rPr>
      </w:pPr>
    </w:p>
    <w:p>
      <w:pPr>
        <w:adjustRightInd w:val="0"/>
        <w:snapToGrid w:val="0"/>
        <w:spacing w:line="400" w:lineRule="exact"/>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3" w:beforeLines="20" w:after="63" w:afterLines="20" w:line="440" w:lineRule="exact"/>
        <w:jc w:val="center"/>
        <w:rPr>
          <w:rFonts w:ascii="宋体" w:cs="宋体"/>
          <w:sz w:val="24"/>
        </w:rPr>
      </w:pPr>
    </w:p>
    <w:p>
      <w:pPr>
        <w:adjustRightInd w:val="0"/>
        <w:snapToGrid w:val="0"/>
        <w:spacing w:before="63" w:beforeLines="20" w:after="63" w:afterLines="20" w:line="440" w:lineRule="exact"/>
        <w:jc w:val="center"/>
        <w:rPr>
          <w:rFonts w:ascii="宋体" w:cs="宋体"/>
          <w:sz w:val="24"/>
        </w:rPr>
      </w:pPr>
      <w:r>
        <w:rPr>
          <w:rFonts w:hint="eastAsia" w:ascii="宋体" w:hAnsi="宋体" w:cs="宋体"/>
          <w:sz w:val="24"/>
        </w:rPr>
        <w:t>法人身份证粘贴处：</w:t>
      </w:r>
    </w:p>
    <w:tbl>
      <w:tblPr>
        <w:tblStyle w:val="11"/>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3" w:beforeLines="20" w:after="63" w:afterLines="20" w:line="540" w:lineRule="exact"/>
              <w:rPr>
                <w:rFonts w:ascii="宋体" w:cs="宋体"/>
                <w:sz w:val="24"/>
              </w:rPr>
            </w:pPr>
          </w:p>
        </w:tc>
        <w:tc>
          <w:tcPr>
            <w:tcW w:w="3900" w:type="dxa"/>
          </w:tcPr>
          <w:p>
            <w:pPr>
              <w:adjustRightInd w:val="0"/>
              <w:snapToGrid w:val="0"/>
              <w:spacing w:before="63" w:beforeLines="20" w:after="63" w:afterLines="20" w:line="540" w:lineRule="exact"/>
              <w:rPr>
                <w:rFonts w:ascii="宋体" w:cs="宋体"/>
                <w:sz w:val="24"/>
              </w:rPr>
            </w:pPr>
          </w:p>
        </w:tc>
      </w:tr>
    </w:tbl>
    <w:p>
      <w:pPr>
        <w:adjustRightInd w:val="0"/>
        <w:snapToGrid w:val="0"/>
        <w:spacing w:line="400" w:lineRule="exact"/>
        <w:jc w:val="center"/>
        <w:rPr>
          <w:rFonts w:ascii="宋体" w:cs="宋体"/>
          <w:b/>
          <w:kern w:val="10"/>
          <w:sz w:val="28"/>
          <w:szCs w:val="28"/>
        </w:rPr>
      </w:pPr>
      <w:r>
        <w:rPr>
          <w:rFonts w:hint="eastAsia" w:ascii="宋体" w:hAnsi="宋体" w:cs="宋体"/>
          <w:sz w:val="24"/>
        </w:rPr>
        <w:t>被授权人身份证粘贴处：</w:t>
      </w:r>
    </w:p>
    <w:tbl>
      <w:tblPr>
        <w:tblStyle w:val="11"/>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sz w:val="24"/>
              </w:rPr>
            </w:pPr>
          </w:p>
        </w:tc>
        <w:tc>
          <w:tcPr>
            <w:tcW w:w="4032" w:type="dxa"/>
          </w:tcPr>
          <w:p>
            <w:pPr>
              <w:adjustRightInd w:val="0"/>
              <w:snapToGrid w:val="0"/>
              <w:spacing w:line="400" w:lineRule="exact"/>
              <w:rPr>
                <w:rFonts w:ascii="宋体" w:cs="宋体"/>
                <w:sz w:val="24"/>
              </w:rPr>
            </w:pPr>
          </w:p>
        </w:tc>
      </w:tr>
    </w:tbl>
    <w:p>
      <w:pPr>
        <w:pStyle w:val="3"/>
        <w:tabs>
          <w:tab w:val="left" w:pos="720"/>
        </w:tabs>
        <w:adjustRightInd w:val="0"/>
        <w:snapToGrid w:val="0"/>
        <w:spacing w:before="63" w:beforeLines="20" w:after="63" w:afterLines="20" w:line="540" w:lineRule="exact"/>
        <w:jc w:val="center"/>
        <w:rPr>
          <w:rFonts w:hint="eastAsia" w:eastAsia="宋体"/>
          <w:b w:val="0"/>
          <w:bCs/>
          <w:lang w:eastAsia="zh-CN"/>
        </w:rPr>
        <w:sectPr>
          <w:footerReference r:id="rId6" w:type="first"/>
          <w:footerReference r:id="rId5" w:type="default"/>
          <w:pgSz w:w="11906" w:h="16838"/>
          <w:pgMar w:top="1440" w:right="1803" w:bottom="1440" w:left="1803" w:header="851" w:footer="992" w:gutter="0"/>
          <w:cols w:space="720" w:num="1"/>
          <w:titlePg/>
          <w:docGrid w:type="lines" w:linePitch="315" w:charSpace="0"/>
        </w:sectPr>
      </w:pPr>
      <w:r>
        <w:rPr>
          <w:rFonts w:hint="eastAsia" w:ascii="宋体" w:hAnsi="宋体" w:cs="宋体"/>
          <w:sz w:val="24"/>
          <w:szCs w:val="24"/>
          <w:lang w:val="en-US" w:eastAsia="zh-CN"/>
        </w:rPr>
        <w:t xml:space="preserve">                                  </w:t>
      </w:r>
      <w:r>
        <w:rPr>
          <w:rFonts w:hint="eastAsia" w:ascii="宋体" w:hAnsi="宋体" w:cs="宋体"/>
          <w:b w:val="0"/>
          <w:bCs/>
          <w:sz w:val="24"/>
          <w:szCs w:val="24"/>
        </w:rPr>
        <w:t>授权委托日期：</w:t>
      </w:r>
      <w:r>
        <w:rPr>
          <w:rFonts w:ascii="宋体" w:hAnsi="宋体" w:cs="宋体"/>
          <w:b w:val="0"/>
          <w:bCs/>
          <w:sz w:val="24"/>
          <w:szCs w:val="24"/>
          <w:u w:val="single"/>
        </w:rPr>
        <w:t xml:space="preserve">     </w:t>
      </w:r>
      <w:r>
        <w:rPr>
          <w:rFonts w:hint="eastAsia" w:ascii="宋体" w:hAnsi="宋体" w:cs="宋体"/>
          <w:b w:val="0"/>
          <w:bCs/>
          <w:sz w:val="24"/>
          <w:szCs w:val="24"/>
        </w:rPr>
        <w:t>年</w:t>
      </w:r>
      <w:r>
        <w:rPr>
          <w:rFonts w:ascii="宋体" w:hAnsi="宋体" w:cs="宋体"/>
          <w:b w:val="0"/>
          <w:bCs/>
          <w:sz w:val="24"/>
          <w:szCs w:val="24"/>
        </w:rPr>
        <w:t xml:space="preserve"> </w:t>
      </w:r>
      <w:r>
        <w:rPr>
          <w:rFonts w:ascii="宋体" w:hAnsi="宋体" w:cs="宋体"/>
          <w:b w:val="0"/>
          <w:bCs/>
          <w:sz w:val="24"/>
          <w:szCs w:val="24"/>
          <w:u w:val="single"/>
        </w:rPr>
        <w:t xml:space="preserve">    </w:t>
      </w:r>
      <w:r>
        <w:rPr>
          <w:rFonts w:hint="eastAsia" w:ascii="宋体" w:hAnsi="宋体" w:cs="宋体"/>
          <w:b w:val="0"/>
          <w:bCs/>
          <w:sz w:val="24"/>
          <w:szCs w:val="24"/>
        </w:rPr>
        <w:t>月</w:t>
      </w:r>
      <w:r>
        <w:rPr>
          <w:rFonts w:ascii="宋体" w:hAnsi="宋体" w:cs="宋体"/>
          <w:b w:val="0"/>
          <w:bCs/>
          <w:sz w:val="24"/>
          <w:szCs w:val="24"/>
          <w:u w:val="single"/>
        </w:rPr>
        <w:t xml:space="preserve">     </w:t>
      </w:r>
      <w:r>
        <w:rPr>
          <w:rFonts w:hint="eastAsia" w:ascii="宋体" w:hAnsi="宋体" w:cs="宋体"/>
          <w:b w:val="0"/>
          <w:bCs/>
          <w:sz w:val="24"/>
          <w:szCs w:val="24"/>
          <w:u w:val="single"/>
          <w:lang w:eastAsia="zh-CN"/>
        </w:rPr>
        <w:t>日</w:t>
      </w:r>
    </w:p>
    <w:p>
      <w:pPr>
        <w:keepNext w:val="0"/>
        <w:keepLines w:val="0"/>
        <w:pageBreakBefore w:val="0"/>
        <w:kinsoku/>
        <w:wordWrap/>
        <w:overflowPunct/>
        <w:topLinePunct w:val="0"/>
        <w:bidi w:val="0"/>
        <w:snapToGrid w:val="0"/>
        <w:spacing w:beforeAutospacing="0" w:afterAutospacing="0" w:line="360" w:lineRule="auto"/>
        <w:ind w:left="0" w:firstLine="0" w:firstLineChars="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w:t>
      </w:r>
    </w:p>
    <w:p>
      <w:pPr>
        <w:keepNext w:val="0"/>
        <w:keepLines w:val="0"/>
        <w:pageBreakBefore w:val="0"/>
        <w:kinsoku/>
        <w:wordWrap/>
        <w:overflowPunct/>
        <w:topLinePunct w:val="0"/>
        <w:bidi w:val="0"/>
        <w:snapToGrid w:val="0"/>
        <w:spacing w:beforeAutospacing="0" w:afterAutospacing="0" w:line="360" w:lineRule="auto"/>
        <w:ind w:left="0" w:firstLine="0" w:firstLineChars="0"/>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投标设备技术偏离表</w:t>
      </w:r>
    </w:p>
    <w:tbl>
      <w:tblPr>
        <w:tblStyle w:val="11"/>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498"/>
        <w:gridCol w:w="1552"/>
        <w:gridCol w:w="1700"/>
        <w:gridCol w:w="1567"/>
        <w:gridCol w:w="1566"/>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设备名称</w:t>
            </w:r>
          </w:p>
        </w:tc>
        <w:tc>
          <w:tcPr>
            <w:tcW w:w="1552"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tc>
        <w:tc>
          <w:tcPr>
            <w:tcW w:w="17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招标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文件要求</w:t>
            </w:r>
          </w:p>
        </w:tc>
        <w:tc>
          <w:tcPr>
            <w:tcW w:w="1567"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文件对应</w:t>
            </w:r>
          </w:p>
        </w:tc>
        <w:tc>
          <w:tcPr>
            <w:tcW w:w="1566"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是否偏离</w:t>
            </w:r>
          </w:p>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及理由</w:t>
            </w:r>
          </w:p>
        </w:tc>
        <w:tc>
          <w:tcPr>
            <w:tcW w:w="1000" w:type="dxa"/>
            <w:shd w:val="clear" w:color="auto" w:fill="auto"/>
            <w:vAlign w:val="center"/>
          </w:tcPr>
          <w:p>
            <w:pPr>
              <w:keepNext w:val="0"/>
              <w:keepLines w:val="0"/>
              <w:pageBreakBefore w:val="0"/>
              <w:kinsoku/>
              <w:wordWrap/>
              <w:overflowPunct/>
              <w:topLinePunct w:val="0"/>
              <w:bidi w:val="0"/>
              <w:snapToGrid w:val="0"/>
              <w:spacing w:beforeAutospacing="0" w:afterAutospacing="0" w:line="360" w:lineRule="auto"/>
              <w:ind w:left="31680" w:firstLine="3168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498"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52"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7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7"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566"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c>
          <w:tcPr>
            <w:tcW w:w="1000" w:type="dxa"/>
            <w:shd w:val="clear" w:color="auto" w:fill="auto"/>
          </w:tcPr>
          <w:p>
            <w:pPr>
              <w:keepNext w:val="0"/>
              <w:keepLines w:val="0"/>
              <w:pageBreakBefore w:val="0"/>
              <w:kinsoku/>
              <w:wordWrap/>
              <w:overflowPunct/>
              <w:topLinePunct w:val="0"/>
              <w:bidi w:val="0"/>
              <w:snapToGrid w:val="0"/>
              <w:spacing w:beforeAutospacing="0" w:afterAutospacing="0" w:line="360" w:lineRule="auto"/>
              <w:ind w:left="31680" w:firstLine="31680"/>
              <w:jc w:val="left"/>
              <w:textAlignment w:val="auto"/>
              <w:outlineLvl w:val="9"/>
              <w:rPr>
                <w:rFonts w:hint="eastAsia" w:asciiTheme="minorEastAsia" w:hAnsiTheme="minorEastAsia" w:eastAsiaTheme="minorEastAsia" w:cstheme="minorEastAsia"/>
                <w:sz w:val="28"/>
                <w:szCs w:val="28"/>
              </w:rPr>
            </w:pPr>
          </w:p>
        </w:tc>
      </w:tr>
    </w:tbl>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附件（八）</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leftChars="0" w:firstLine="0" w:firstLineChars="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新</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的零部件。</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hanging="1459"/>
      </w:pPr>
      <w:r>
        <w:separator/>
      </w:r>
    </w:p>
  </w:endnote>
  <w:endnote w:type="continuationSeparator" w:id="1">
    <w:p>
      <w:pPr>
        <w:ind w:hanging="145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
                            <w:fldChar w:fldCharType="begin"/>
                          </w:r>
                          <w:r>
                            <w:instrText xml:space="preserve"> PAGE  \* MERGEFORMAT </w:instrText>
                          </w:r>
                          <w:r>
                            <w:fldChar w:fldCharType="separate"/>
                          </w:r>
                          <w:r>
                            <w:t>20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xfV+LSAQAAowMAAA4AAABkcnMvZTJvRG9jLnhtbK1TzY7TMBC+&#10;I/EOlu80abU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F9X4tIBAACjAwAADgAAAAAAAAABACAAAAAi&#10;AQAAZHJzL2Uyb0RvYy54bWxQSwUGAAAAAAYABgBZAQAAZgUAAAAA&#10;">
              <v:fill on="f" focussize="0,0"/>
              <v:stroke on="f" weight="1.25pt"/>
              <v:imagedata o:title=""/>
              <o:lock v:ext="edit" aspectratio="f"/>
              <v:textbox inset="0mm,0mm,0mm,0mm" style="mso-fit-shape-to-text:t;">
                <w:txbxContent>
                  <w:p>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B+/zSAQAAowMAAA4AAABkcnMvZTJvRG9jLnhtbK1TzY7TMBC+&#10;I/EOlu80aVcLUd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FSWWGRz4+dfP8++/&#10;5z8/yFWSp/dQY9adx7w4fHADLs18D3iZWA8ymPRFPgTjKO7pIq4YIuHpUbWqqhJDHGOzg/jFw3Mf&#10;IH4UzpBkNDTg9LKo7PgZ4pg6p6Rq1t0qrfMEtSU9ol5X767zi0sI0bXFIonF2G2y4rAbJmo7156Q&#10;WY8r0FCLG0+J/mRR4bQtsxFmYzcbBx/UvsMml7ke+PeHiO3kLlOFEXYqjLPLPKc9S8vxv5+zHv6t&#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cH7/N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hanging="1459"/>
      </w:pPr>
      <w:r>
        <w:separator/>
      </w:r>
    </w:p>
  </w:footnote>
  <w:footnote w:type="continuationSeparator" w:id="1">
    <w:p>
      <w:pPr>
        <w:ind w:hanging="145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F28BD"/>
    <w:multiLevelType w:val="singleLevel"/>
    <w:tmpl w:val="833F28BD"/>
    <w:lvl w:ilvl="0" w:tentative="0">
      <w:start w:val="6"/>
      <w:numFmt w:val="decimal"/>
      <w:lvlText w:val="%1."/>
      <w:lvlJc w:val="left"/>
      <w:pPr>
        <w:tabs>
          <w:tab w:val="left" w:pos="312"/>
        </w:tabs>
      </w:pPr>
    </w:lvl>
  </w:abstractNum>
  <w:abstractNum w:abstractNumId="1">
    <w:nsid w:val="BD7EA85E"/>
    <w:multiLevelType w:val="singleLevel"/>
    <w:tmpl w:val="BD7EA85E"/>
    <w:lvl w:ilvl="0" w:tentative="0">
      <w:start w:val="1"/>
      <w:numFmt w:val="decimal"/>
      <w:suff w:val="nothing"/>
      <w:lvlText w:val="%1、"/>
      <w:lvlJc w:val="left"/>
    </w:lvl>
  </w:abstractNum>
  <w:abstractNum w:abstractNumId="2">
    <w:nsid w:val="C1243F25"/>
    <w:multiLevelType w:val="singleLevel"/>
    <w:tmpl w:val="C1243F25"/>
    <w:lvl w:ilvl="0" w:tentative="0">
      <w:start w:val="9"/>
      <w:numFmt w:val="chineseCounting"/>
      <w:suff w:val="nothing"/>
      <w:lvlText w:val="%1、"/>
      <w:lvlJc w:val="left"/>
      <w:rPr>
        <w:rFonts w:hint="eastAsia"/>
      </w:rPr>
    </w:lvl>
  </w:abstractNum>
  <w:abstractNum w:abstractNumId="3">
    <w:nsid w:val="D34CD5EE"/>
    <w:multiLevelType w:val="singleLevel"/>
    <w:tmpl w:val="D34CD5EE"/>
    <w:lvl w:ilvl="0" w:tentative="0">
      <w:start w:val="1"/>
      <w:numFmt w:val="chineseCounting"/>
      <w:suff w:val="nothing"/>
      <w:lvlText w:val="（%1）"/>
      <w:lvlJc w:val="left"/>
      <w:rPr>
        <w:rFonts w:hint="eastAsia"/>
      </w:rPr>
    </w:lvl>
  </w:abstractNum>
  <w:abstractNum w:abstractNumId="4">
    <w:nsid w:val="DD066469"/>
    <w:multiLevelType w:val="singleLevel"/>
    <w:tmpl w:val="DD066469"/>
    <w:lvl w:ilvl="0" w:tentative="0">
      <w:start w:val="1"/>
      <w:numFmt w:val="chineseCounting"/>
      <w:suff w:val="nothing"/>
      <w:lvlText w:val="%1、"/>
      <w:lvlJc w:val="left"/>
      <w:rPr>
        <w:rFonts w:hint="eastAsia"/>
      </w:rPr>
    </w:lvl>
  </w:abstractNum>
  <w:abstractNum w:abstractNumId="5">
    <w:nsid w:val="E7C4C98C"/>
    <w:multiLevelType w:val="singleLevel"/>
    <w:tmpl w:val="E7C4C98C"/>
    <w:lvl w:ilvl="0" w:tentative="0">
      <w:start w:val="2"/>
      <w:numFmt w:val="chineseCounting"/>
      <w:suff w:val="nothing"/>
      <w:lvlText w:val="（%1）"/>
      <w:lvlJc w:val="left"/>
      <w:rPr>
        <w:rFonts w:hint="eastAsia"/>
      </w:rPr>
    </w:lvl>
  </w:abstractNum>
  <w:abstractNum w:abstractNumId="6">
    <w:nsid w:val="FC52F253"/>
    <w:multiLevelType w:val="singleLevel"/>
    <w:tmpl w:val="FC52F253"/>
    <w:lvl w:ilvl="0" w:tentative="0">
      <w:start w:val="6"/>
      <w:numFmt w:val="decimal"/>
      <w:suff w:val="nothing"/>
      <w:lvlText w:val="%1、"/>
      <w:lvlJc w:val="left"/>
    </w:lvl>
  </w:abstractNum>
  <w:abstractNum w:abstractNumId="7">
    <w:nsid w:val="0D5D42AD"/>
    <w:multiLevelType w:val="singleLevel"/>
    <w:tmpl w:val="0D5D42AD"/>
    <w:lvl w:ilvl="0" w:tentative="0">
      <w:start w:val="9"/>
      <w:numFmt w:val="decimal"/>
      <w:suff w:val="nothing"/>
      <w:lvlText w:val="%1、"/>
      <w:lvlJc w:val="left"/>
    </w:lvl>
  </w:abstractNum>
  <w:abstractNum w:abstractNumId="8">
    <w:nsid w:val="27E98228"/>
    <w:multiLevelType w:val="singleLevel"/>
    <w:tmpl w:val="27E98228"/>
    <w:lvl w:ilvl="0" w:tentative="0">
      <w:start w:val="2"/>
      <w:numFmt w:val="decimal"/>
      <w:lvlText w:val="%1."/>
      <w:lvlJc w:val="left"/>
      <w:pPr>
        <w:tabs>
          <w:tab w:val="left" w:pos="312"/>
        </w:tabs>
      </w:pPr>
    </w:lvl>
  </w:abstractNum>
  <w:abstractNum w:abstractNumId="9">
    <w:nsid w:val="34E44789"/>
    <w:multiLevelType w:val="singleLevel"/>
    <w:tmpl w:val="34E44789"/>
    <w:lvl w:ilvl="0" w:tentative="0">
      <w:start w:val="11"/>
      <w:numFmt w:val="chineseCounting"/>
      <w:suff w:val="nothing"/>
      <w:lvlText w:val="（%1）"/>
      <w:lvlJc w:val="left"/>
      <w:rPr>
        <w:rFonts w:hint="eastAsia"/>
      </w:rPr>
    </w:lvl>
  </w:abstractNum>
  <w:abstractNum w:abstractNumId="10">
    <w:nsid w:val="3C3CCC3C"/>
    <w:multiLevelType w:val="singleLevel"/>
    <w:tmpl w:val="3C3CCC3C"/>
    <w:lvl w:ilvl="0" w:tentative="0">
      <w:start w:val="3"/>
      <w:numFmt w:val="chineseCounting"/>
      <w:suff w:val="nothing"/>
      <w:lvlText w:val="（%1）"/>
      <w:lvlJc w:val="left"/>
      <w:rPr>
        <w:rFonts w:hint="eastAsia"/>
      </w:rPr>
    </w:lvl>
  </w:abstractNum>
  <w:abstractNum w:abstractNumId="11">
    <w:nsid w:val="3E1B4B90"/>
    <w:multiLevelType w:val="singleLevel"/>
    <w:tmpl w:val="3E1B4B90"/>
    <w:lvl w:ilvl="0" w:tentative="0">
      <w:start w:val="1"/>
      <w:numFmt w:val="decimal"/>
      <w:lvlText w:val="%1."/>
      <w:lvlJc w:val="left"/>
      <w:pPr>
        <w:tabs>
          <w:tab w:val="left" w:pos="312"/>
        </w:tabs>
      </w:pPr>
    </w:lvl>
  </w:abstractNum>
  <w:abstractNum w:abstractNumId="12">
    <w:nsid w:val="43600130"/>
    <w:multiLevelType w:val="singleLevel"/>
    <w:tmpl w:val="43600130"/>
    <w:lvl w:ilvl="0" w:tentative="0">
      <w:start w:val="1"/>
      <w:numFmt w:val="decimal"/>
      <w:lvlText w:val="%1."/>
      <w:lvlJc w:val="left"/>
      <w:pPr>
        <w:tabs>
          <w:tab w:val="left" w:pos="312"/>
        </w:tabs>
      </w:pPr>
    </w:lvl>
  </w:abstractNum>
  <w:abstractNum w:abstractNumId="13">
    <w:nsid w:val="570BD3A4"/>
    <w:multiLevelType w:val="singleLevel"/>
    <w:tmpl w:val="570BD3A4"/>
    <w:lvl w:ilvl="0" w:tentative="0">
      <w:start w:val="2"/>
      <w:numFmt w:val="chineseCounting"/>
      <w:suff w:val="nothing"/>
      <w:lvlText w:val="%1、"/>
      <w:lvlJc w:val="left"/>
      <w:rPr>
        <w:rFonts w:hint="eastAsia"/>
      </w:rPr>
    </w:lvl>
  </w:abstractNum>
  <w:abstractNum w:abstractNumId="14">
    <w:nsid w:val="7602B9A9"/>
    <w:multiLevelType w:val="singleLevel"/>
    <w:tmpl w:val="7602B9A9"/>
    <w:lvl w:ilvl="0" w:tentative="0">
      <w:start w:val="2"/>
      <w:numFmt w:val="chineseCounting"/>
      <w:suff w:val="nothing"/>
      <w:lvlText w:val="（%1）"/>
      <w:lvlJc w:val="left"/>
      <w:rPr>
        <w:rFonts w:hint="eastAsia"/>
      </w:rPr>
    </w:lvl>
  </w:abstractNum>
  <w:num w:numId="1">
    <w:abstractNumId w:val="14"/>
  </w:num>
  <w:num w:numId="2">
    <w:abstractNumId w:val="2"/>
  </w:num>
  <w:num w:numId="3">
    <w:abstractNumId w:val="13"/>
  </w:num>
  <w:num w:numId="4">
    <w:abstractNumId w:val="3"/>
  </w:num>
  <w:num w:numId="5">
    <w:abstractNumId w:val="8"/>
  </w:num>
  <w:num w:numId="6">
    <w:abstractNumId w:val="11"/>
  </w:num>
  <w:num w:numId="7">
    <w:abstractNumId w:val="0"/>
  </w:num>
  <w:num w:numId="8">
    <w:abstractNumId w:val="1"/>
  </w:num>
  <w:num w:numId="9">
    <w:abstractNumId w:val="12"/>
  </w:num>
  <w:num w:numId="10">
    <w:abstractNumId w:val="9"/>
  </w:num>
  <w:num w:numId="11">
    <w:abstractNumId w:val="7"/>
  </w:num>
  <w:num w:numId="12">
    <w:abstractNumId w:val="6"/>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D30B4"/>
    <w:rsid w:val="002F0BBC"/>
    <w:rsid w:val="007022A7"/>
    <w:rsid w:val="00BF5D47"/>
    <w:rsid w:val="0351125F"/>
    <w:rsid w:val="057E61A9"/>
    <w:rsid w:val="067E30D2"/>
    <w:rsid w:val="06C27210"/>
    <w:rsid w:val="097278EE"/>
    <w:rsid w:val="0C1769DD"/>
    <w:rsid w:val="0E260407"/>
    <w:rsid w:val="0F814DF1"/>
    <w:rsid w:val="1031737F"/>
    <w:rsid w:val="109E07EF"/>
    <w:rsid w:val="11547015"/>
    <w:rsid w:val="13286A18"/>
    <w:rsid w:val="136868B7"/>
    <w:rsid w:val="142E6C6A"/>
    <w:rsid w:val="15AC71C5"/>
    <w:rsid w:val="165846C2"/>
    <w:rsid w:val="18594C60"/>
    <w:rsid w:val="185A33CC"/>
    <w:rsid w:val="18EE0E5D"/>
    <w:rsid w:val="190B5596"/>
    <w:rsid w:val="1A547EC7"/>
    <w:rsid w:val="1CA2506E"/>
    <w:rsid w:val="22B14AB7"/>
    <w:rsid w:val="23132113"/>
    <w:rsid w:val="24707F82"/>
    <w:rsid w:val="25C3163D"/>
    <w:rsid w:val="266072EE"/>
    <w:rsid w:val="27CF7D2B"/>
    <w:rsid w:val="28475160"/>
    <w:rsid w:val="298057D2"/>
    <w:rsid w:val="2B6E4A40"/>
    <w:rsid w:val="2B8A4A8C"/>
    <w:rsid w:val="2BDE4FC7"/>
    <w:rsid w:val="2C3A25F8"/>
    <w:rsid w:val="2C790998"/>
    <w:rsid w:val="2D7D25F5"/>
    <w:rsid w:val="2E8B791D"/>
    <w:rsid w:val="2FB70235"/>
    <w:rsid w:val="30A41C12"/>
    <w:rsid w:val="30D014A7"/>
    <w:rsid w:val="3161052D"/>
    <w:rsid w:val="31927DB1"/>
    <w:rsid w:val="32323E22"/>
    <w:rsid w:val="329D08D9"/>
    <w:rsid w:val="32DC4C61"/>
    <w:rsid w:val="33E0538B"/>
    <w:rsid w:val="34A455FE"/>
    <w:rsid w:val="35835D75"/>
    <w:rsid w:val="36456490"/>
    <w:rsid w:val="3856592B"/>
    <w:rsid w:val="38E34956"/>
    <w:rsid w:val="39AF195F"/>
    <w:rsid w:val="3A7520FE"/>
    <w:rsid w:val="3A7B40AC"/>
    <w:rsid w:val="3DF27F6D"/>
    <w:rsid w:val="3E34756D"/>
    <w:rsid w:val="3F3A45BE"/>
    <w:rsid w:val="40D361F2"/>
    <w:rsid w:val="41FC645F"/>
    <w:rsid w:val="454C174A"/>
    <w:rsid w:val="46075F25"/>
    <w:rsid w:val="47666A41"/>
    <w:rsid w:val="4A9D13A0"/>
    <w:rsid w:val="4AA001D9"/>
    <w:rsid w:val="4B3E70B7"/>
    <w:rsid w:val="4BB014F6"/>
    <w:rsid w:val="4C31405F"/>
    <w:rsid w:val="4C874F51"/>
    <w:rsid w:val="4CED36BA"/>
    <w:rsid w:val="50402955"/>
    <w:rsid w:val="510F5922"/>
    <w:rsid w:val="528B233C"/>
    <w:rsid w:val="52A04FAA"/>
    <w:rsid w:val="56257A2F"/>
    <w:rsid w:val="568002BA"/>
    <w:rsid w:val="57D7363D"/>
    <w:rsid w:val="5896374D"/>
    <w:rsid w:val="58A211A7"/>
    <w:rsid w:val="59FE58CE"/>
    <w:rsid w:val="5B840C2C"/>
    <w:rsid w:val="5BB609E6"/>
    <w:rsid w:val="5C8F5629"/>
    <w:rsid w:val="5D8B0298"/>
    <w:rsid w:val="5D944C2E"/>
    <w:rsid w:val="5DBC2795"/>
    <w:rsid w:val="5F6E316F"/>
    <w:rsid w:val="610F70D2"/>
    <w:rsid w:val="617605FA"/>
    <w:rsid w:val="617D36FC"/>
    <w:rsid w:val="64C34818"/>
    <w:rsid w:val="64CA458F"/>
    <w:rsid w:val="651D30B4"/>
    <w:rsid w:val="68CF3311"/>
    <w:rsid w:val="695545B9"/>
    <w:rsid w:val="6A325541"/>
    <w:rsid w:val="6A493BB0"/>
    <w:rsid w:val="6CA91122"/>
    <w:rsid w:val="6CCB781D"/>
    <w:rsid w:val="6F1E60C5"/>
    <w:rsid w:val="6F693649"/>
    <w:rsid w:val="6FD45A18"/>
    <w:rsid w:val="70A04530"/>
    <w:rsid w:val="71271635"/>
    <w:rsid w:val="71374A1A"/>
    <w:rsid w:val="72CF0ACE"/>
    <w:rsid w:val="7429018B"/>
    <w:rsid w:val="75EA4A50"/>
    <w:rsid w:val="76211A24"/>
    <w:rsid w:val="76833E9C"/>
    <w:rsid w:val="768474A2"/>
    <w:rsid w:val="77E748E7"/>
    <w:rsid w:val="79E9513B"/>
    <w:rsid w:val="7A69005D"/>
    <w:rsid w:val="7B0F1180"/>
    <w:rsid w:val="7E62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paragraph" w:styleId="3">
    <w:name w:val="heading 3"/>
    <w:basedOn w:val="1"/>
    <w:next w:val="2"/>
    <w:qFormat/>
    <w:uiPriority w:val="99"/>
    <w:pPr>
      <w:keepNext/>
      <w:keepLines/>
      <w:spacing w:before="260" w:after="260" w:line="415" w:lineRule="auto"/>
      <w:outlineLvl w:val="2"/>
    </w:pPr>
    <w:rPr>
      <w:b/>
      <w:sz w:val="32"/>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szCs w:val="20"/>
    </w:rPr>
  </w:style>
  <w:style w:type="paragraph" w:styleId="4">
    <w:name w:val="Body Text Indent"/>
    <w:basedOn w:val="1"/>
    <w:next w:val="5"/>
    <w:qFormat/>
    <w:uiPriority w:val="99"/>
    <w:pPr>
      <w:ind w:left="630"/>
    </w:pPr>
    <w:rPr>
      <w:kern w:val="0"/>
      <w:sz w:val="20"/>
    </w:rPr>
  </w:style>
  <w:style w:type="paragraph" w:styleId="5">
    <w:name w:val="envelope return"/>
    <w:basedOn w:val="1"/>
    <w:qFormat/>
    <w:uiPriority w:val="0"/>
    <w:pPr>
      <w:snapToGrid w:val="0"/>
    </w:pPr>
    <w:rPr>
      <w:rFonts w:ascii="Arial" w:hAnsi="Arial"/>
    </w:rPr>
  </w:style>
  <w:style w:type="paragraph" w:styleId="6">
    <w:name w:val="List Continue"/>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99"/>
    <w:pPr>
      <w:jc w:val="center"/>
    </w:pPr>
    <w:rPr>
      <w:rFonts w:ascii="Times New Roman" w:hAnsi="Times New Roman" w:cs="Times New Roman"/>
      <w:sz w:val="28"/>
      <w:szCs w:val="28"/>
    </w:rPr>
  </w:style>
  <w:style w:type="paragraph" w:styleId="10">
    <w:name w:val="Body Text First Indent 2"/>
    <w:basedOn w:val="4"/>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99"/>
    <w:pPr>
      <w:ind w:firstLine="420" w:firstLineChars="200"/>
    </w:pPr>
  </w:style>
  <w:style w:type="character" w:customStyle="1" w:styleId="15">
    <w:name w:val="fontstyle01"/>
    <w:basedOn w:val="13"/>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2021-03-30T00:28:00Z</dcterms:created>
  <dc:creator>影风</dc:creator>
  <cp:lastModifiedBy>尘土</cp:lastModifiedBy>
  <cp:lastPrinted>2021-09-10T00:57:00Z</cp:lastPrinted>
  <dcterms:modified xsi:type="dcterms:W3CDTF">2021-12-27T02:31:02Z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CA024E6896954F77B967A78AD365E0B3</vt:lpwstr>
  </property>
</Properties>
</file>