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line="490" w:lineRule="exact"/>
        <w:jc w:val="center"/>
        <w:rPr>
          <w:rFonts w:hint="eastAsia" w:ascii="宋体" w:hAnsi="宋体"/>
          <w:b/>
          <w:sz w:val="36"/>
          <w:szCs w:val="36"/>
          <w:lang w:eastAsia="zh-CN"/>
        </w:rPr>
      </w:pPr>
      <w:r>
        <w:rPr>
          <w:rFonts w:hint="eastAsia" w:ascii="宋体" w:hAnsi="宋体"/>
          <w:b/>
          <w:sz w:val="36"/>
          <w:szCs w:val="36"/>
          <w:lang w:eastAsia="zh-CN"/>
        </w:rPr>
        <w:t>安徽相王医疗健康股份有限公司体检中心导检系统及皖北康复医院叫号系统询价函</w:t>
      </w:r>
    </w:p>
    <w:p>
      <w:pPr>
        <w:widowControl w:val="0"/>
        <w:adjustRightInd w:val="0"/>
        <w:snapToGrid w:val="0"/>
        <w:spacing w:line="400" w:lineRule="exact"/>
        <w:jc w:val="center"/>
        <w:textAlignment w:val="auto"/>
        <w:rPr>
          <w:rFonts w:hint="eastAsia" w:ascii="Calibri" w:hAnsi="Calibri" w:eastAsia="宋体" w:cs="宋体"/>
          <w:b/>
          <w:bCs/>
          <w:color w:val="000000"/>
          <w:kern w:val="2"/>
          <w:sz w:val="28"/>
          <w:szCs w:val="28"/>
          <w:u w:val="none"/>
        </w:rPr>
      </w:pPr>
      <w:r>
        <w:rPr>
          <w:rFonts w:hint="eastAsia" w:ascii="Calibri" w:hAnsi="Calibri" w:eastAsia="宋体" w:cs="宋体"/>
          <w:b/>
          <w:bCs/>
          <w:color w:val="000000"/>
          <w:kern w:val="2"/>
          <w:sz w:val="28"/>
          <w:szCs w:val="28"/>
          <w:u w:val="none"/>
        </w:rPr>
        <w:t>一、投标人须知前附表</w:t>
      </w:r>
    </w:p>
    <w:p>
      <w:pPr>
        <w:widowControl w:val="0"/>
        <w:adjustRightInd w:val="0"/>
        <w:snapToGrid w:val="0"/>
        <w:spacing w:line="400" w:lineRule="exact"/>
        <w:jc w:val="left"/>
        <w:textAlignment w:val="auto"/>
        <w:rPr>
          <w:rFonts w:hint="eastAsia" w:ascii="Calibri" w:hAnsi="Calibri" w:eastAsia="宋体" w:cs="宋体"/>
          <w:b/>
          <w:bCs/>
          <w:color w:val="000000"/>
          <w:kern w:val="2"/>
          <w:sz w:val="28"/>
          <w:szCs w:val="28"/>
          <w:u w:val="none"/>
        </w:rPr>
      </w:pPr>
    </w:p>
    <w:tbl>
      <w:tblPr>
        <w:tblStyle w:val="15"/>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7"/>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50" w:type="dxa"/>
            <w:vAlign w:val="center"/>
          </w:tcPr>
          <w:p>
            <w:pPr>
              <w:widowControl w:val="0"/>
              <w:adjustRightInd w:val="0"/>
              <w:snapToGrid w:val="0"/>
              <w:spacing w:line="400" w:lineRule="exact"/>
              <w:jc w:val="center"/>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序号</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条款名称</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000000"/>
                <w:kern w:val="2"/>
                <w:sz w:val="28"/>
                <w:szCs w:val="28"/>
                <w:u w:val="none"/>
              </w:rPr>
            </w:pPr>
            <w:r>
              <w:rPr>
                <w:rFonts w:hint="eastAsia" w:ascii="宋体" w:hAnsi="宋体" w:eastAsia="宋体" w:cs="宋体"/>
                <w:i w:val="0"/>
                <w:iCs w:val="0"/>
                <w:color w:val="000000"/>
                <w:kern w:val="0"/>
                <w:sz w:val="28"/>
                <w:szCs w:val="28"/>
                <w:u w:val="none" w:color="000000"/>
                <w:lang w:val="en-US" w:eastAsia="zh-CN" w:bidi="ar"/>
              </w:rPr>
              <w:t>1</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项目名称</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安徽相王医疗健康股份有限公司体检中心导检系统及皖北康复医院叫号系统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000000"/>
                <w:kern w:val="2"/>
                <w:sz w:val="28"/>
                <w:szCs w:val="28"/>
                <w:u w:val="none"/>
              </w:rPr>
            </w:pPr>
            <w:r>
              <w:rPr>
                <w:rFonts w:hint="eastAsia" w:ascii="宋体" w:hAnsi="宋体" w:eastAsia="宋体" w:cs="宋体"/>
                <w:i w:val="0"/>
                <w:iCs w:val="0"/>
                <w:color w:val="000000"/>
                <w:kern w:val="0"/>
                <w:sz w:val="28"/>
                <w:szCs w:val="28"/>
                <w:u w:val="none" w:color="000000"/>
                <w:lang w:val="en-US" w:eastAsia="zh-CN" w:bidi="ar"/>
              </w:rPr>
              <w:t>2</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cs="宋体"/>
                <w:color w:val="000000"/>
                <w:kern w:val="2"/>
                <w:sz w:val="28"/>
                <w:szCs w:val="28"/>
                <w:u w:val="none"/>
                <w:lang w:eastAsia="zh-CN"/>
              </w:rPr>
              <w:t>招标</w:t>
            </w:r>
            <w:r>
              <w:rPr>
                <w:rFonts w:hint="eastAsia" w:ascii="Calibri" w:hAnsi="Calibri" w:eastAsia="宋体" w:cs="宋体"/>
                <w:color w:val="000000"/>
                <w:kern w:val="2"/>
                <w:sz w:val="28"/>
                <w:szCs w:val="28"/>
                <w:u w:val="none"/>
              </w:rPr>
              <w:t>人</w:t>
            </w:r>
          </w:p>
        </w:tc>
        <w:tc>
          <w:tcPr>
            <w:tcW w:w="6741" w:type="dxa"/>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安徽相王医疗健康股份有限公司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3</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eastAsia="zh-CN"/>
              </w:rPr>
              <w:t>招标</w:t>
            </w:r>
            <w:r>
              <w:rPr>
                <w:rFonts w:hint="eastAsia" w:ascii="Calibri" w:hAnsi="Calibri" w:eastAsia="宋体" w:cs="宋体"/>
                <w:color w:val="000000"/>
                <w:kern w:val="2"/>
                <w:sz w:val="28"/>
                <w:szCs w:val="28"/>
                <w:u w:val="none"/>
              </w:rPr>
              <w:t>范围</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导检系统及叫号系统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4</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eastAsia="zh-CN"/>
              </w:rPr>
              <w:t>招标</w:t>
            </w:r>
            <w:r>
              <w:rPr>
                <w:rFonts w:hint="eastAsia" w:ascii="Calibri" w:hAnsi="Calibri" w:eastAsia="宋体" w:cs="宋体"/>
                <w:color w:val="000000"/>
                <w:kern w:val="2"/>
                <w:sz w:val="28"/>
                <w:szCs w:val="28"/>
                <w:u w:val="none"/>
              </w:rPr>
              <w:t>方式</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公开</w:t>
            </w:r>
            <w:r>
              <w:rPr>
                <w:rFonts w:hint="eastAsia" w:ascii="Calibri" w:hAnsi="Calibri" w:cs="宋体"/>
                <w:color w:val="auto"/>
                <w:kern w:val="2"/>
                <w:sz w:val="28"/>
                <w:szCs w:val="28"/>
                <w:u w:val="none"/>
                <w:lang w:eastAsia="zh-CN"/>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5</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lang w:eastAsia="zh-CN"/>
              </w:rPr>
              <w:t>项目</w:t>
            </w:r>
            <w:r>
              <w:rPr>
                <w:rFonts w:hint="eastAsia" w:ascii="Calibri" w:hAnsi="Calibri" w:eastAsia="宋体" w:cs="宋体"/>
                <w:color w:val="000000"/>
                <w:kern w:val="2"/>
                <w:sz w:val="28"/>
                <w:szCs w:val="28"/>
                <w:u w:val="none"/>
              </w:rPr>
              <w:t>控制价</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人民币</w:t>
            </w:r>
            <w:r>
              <w:rPr>
                <w:rFonts w:hint="eastAsia" w:ascii="Calibri" w:hAnsi="Calibri" w:cs="宋体"/>
                <w:color w:val="000000"/>
                <w:kern w:val="2"/>
                <w:sz w:val="28"/>
                <w:szCs w:val="28"/>
                <w:u w:val="none"/>
                <w:lang w:val="en-US" w:eastAsia="zh-CN"/>
              </w:rPr>
              <w:t>15</w:t>
            </w:r>
            <w:r>
              <w:rPr>
                <w:rFonts w:hint="eastAsia" w:ascii="Calibri" w:hAnsi="Calibri" w:eastAsia="宋体" w:cs="宋体"/>
                <w:color w:val="000000"/>
                <w:kern w:val="2"/>
                <w:sz w:val="28"/>
                <w:szCs w:val="28"/>
                <w:u w:val="none"/>
                <w:lang w:val="en-US" w:eastAsia="zh-CN"/>
              </w:rPr>
              <w:t>万元（大写</w:t>
            </w:r>
            <w:r>
              <w:rPr>
                <w:rFonts w:hint="eastAsia" w:ascii="Calibri" w:hAnsi="Calibri" w:cs="宋体"/>
                <w:color w:val="000000"/>
                <w:kern w:val="2"/>
                <w:sz w:val="28"/>
                <w:szCs w:val="28"/>
                <w:u w:val="none"/>
                <w:lang w:val="en-US" w:eastAsia="zh-CN"/>
              </w:rPr>
              <w:t>壹拾伍万</w:t>
            </w:r>
            <w:r>
              <w:rPr>
                <w:rFonts w:hint="eastAsia" w:ascii="Calibri" w:hAnsi="Calibri" w:eastAsia="宋体" w:cs="宋体"/>
                <w:color w:val="000000"/>
                <w:kern w:val="2"/>
                <w:sz w:val="28"/>
                <w:szCs w:val="28"/>
                <w:u w:val="none"/>
                <w:lang w:val="en-US"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6</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资金来源</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eastAsia="zh-CN"/>
              </w:rPr>
              <w:t>□</w:t>
            </w:r>
            <w:r>
              <w:rPr>
                <w:rFonts w:hint="eastAsia" w:ascii="Calibri" w:hAnsi="Calibri" w:eastAsia="宋体" w:cs="宋体"/>
                <w:color w:val="000000"/>
                <w:kern w:val="2"/>
                <w:sz w:val="28"/>
                <w:szCs w:val="28"/>
                <w:u w:val="none"/>
                <w:lang w:val="zh-CN"/>
              </w:rPr>
              <w:t xml:space="preserve">财政投资  </w:t>
            </w:r>
            <w:r>
              <w:rPr>
                <w:rFonts w:hint="eastAsia" w:ascii="Calibri" w:hAnsi="Calibri" w:eastAsia="宋体" w:cs="宋体"/>
                <w:color w:val="000000"/>
                <w:kern w:val="2"/>
                <w:sz w:val="28"/>
                <w:szCs w:val="28"/>
                <w:u w:val="none"/>
              </w:rPr>
              <w:sym w:font="Wingdings" w:char="00FE"/>
            </w:r>
            <w:r>
              <w:rPr>
                <w:rFonts w:hint="eastAsia" w:ascii="Calibri" w:hAnsi="Calibri" w:eastAsia="宋体" w:cs="宋体"/>
                <w:color w:val="000000"/>
                <w:kern w:val="2"/>
                <w:sz w:val="28"/>
                <w:szCs w:val="28"/>
                <w:u w:val="none"/>
                <w:lang w:eastAsia="zh-CN"/>
              </w:rPr>
              <w:t>招标人</w:t>
            </w:r>
            <w:r>
              <w:rPr>
                <w:rFonts w:hint="eastAsia" w:ascii="Calibri" w:hAnsi="Calibri" w:eastAsia="宋体" w:cs="宋体"/>
                <w:color w:val="000000"/>
                <w:kern w:val="2"/>
                <w:sz w:val="28"/>
                <w:szCs w:val="28"/>
                <w:u w:val="none"/>
                <w:lang w:val="zh-CN"/>
              </w:rPr>
              <w:t xml:space="preserve">自筹  </w:t>
            </w:r>
            <w:r>
              <w:rPr>
                <w:rFonts w:hint="eastAsia" w:ascii="Calibri" w:hAnsi="Calibri" w:eastAsia="宋体" w:cs="宋体"/>
                <w:color w:val="000000"/>
                <w:kern w:val="2"/>
                <w:sz w:val="28"/>
                <w:szCs w:val="28"/>
                <w:u w:val="none"/>
              </w:rPr>
              <w:t>□</w:t>
            </w:r>
            <w:r>
              <w:rPr>
                <w:rFonts w:hint="eastAsia" w:ascii="Calibri" w:hAnsi="Calibri" w:eastAsia="宋体" w:cs="宋体"/>
                <w:color w:val="000000"/>
                <w:kern w:val="2"/>
                <w:sz w:val="28"/>
                <w:szCs w:val="28"/>
                <w:u w:val="none"/>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7</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投标有效期</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val="en-US" w:eastAsia="zh-CN"/>
              </w:rPr>
              <w:t>30</w:t>
            </w:r>
            <w:r>
              <w:rPr>
                <w:rFonts w:hint="eastAsia" w:ascii="Calibri" w:hAnsi="Calibri" w:eastAsia="宋体" w:cs="宋体"/>
                <w:color w:val="000000"/>
                <w:kern w:val="2"/>
                <w:sz w:val="28"/>
                <w:szCs w:val="28"/>
                <w:u w:val="none"/>
              </w:rPr>
              <w:t>日历天（从投标截止之日算起</w:t>
            </w:r>
            <w:r>
              <w:rPr>
                <w:rFonts w:hint="eastAsia" w:ascii="Calibri" w:hAnsi="Calibri" w:eastAsia="宋体" w:cs="宋体"/>
                <w:color w:val="000000"/>
                <w:kern w:val="2"/>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0000FF"/>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8</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评标方法</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0000FF"/>
                <w:kern w:val="2"/>
                <w:sz w:val="28"/>
                <w:szCs w:val="28"/>
                <w:u w:val="none"/>
              </w:rPr>
            </w:pPr>
            <w:r>
              <w:rPr>
                <w:rFonts w:hint="eastAsia" w:ascii="宋体" w:hAnsi="宋体" w:eastAsia="宋体" w:cs="宋体"/>
                <w:i w:val="0"/>
                <w:iCs w:val="0"/>
                <w:color w:val="000000"/>
                <w:kern w:val="0"/>
                <w:sz w:val="28"/>
                <w:szCs w:val="28"/>
                <w:u w:val="none" w:color="000000"/>
                <w:lang w:val="en-US" w:eastAsia="zh-CN" w:bidi="ar"/>
              </w:rPr>
              <w:t>9</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投标人资格</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eastAsia="zh-CN"/>
              </w:rPr>
            </w:pPr>
            <w:r>
              <w:rPr>
                <w:rFonts w:hint="eastAsia" w:ascii="Calibri" w:hAnsi="Calibri" w:eastAsia="宋体" w:cs="宋体"/>
                <w:color w:val="000000"/>
                <w:kern w:val="2"/>
                <w:sz w:val="28"/>
                <w:szCs w:val="28"/>
                <w:u w:val="none"/>
                <w:lang w:eastAsia="zh-CN"/>
              </w:rPr>
              <w:t>具有独立法人资格；有相关</w:t>
            </w:r>
            <w:r>
              <w:rPr>
                <w:rFonts w:hint="eastAsia" w:ascii="Calibri" w:hAnsi="Calibri" w:eastAsia="宋体" w:cs="宋体"/>
                <w:color w:val="000000"/>
                <w:kern w:val="2"/>
                <w:sz w:val="28"/>
                <w:szCs w:val="28"/>
                <w:u w:val="none"/>
              </w:rPr>
              <w:t>软件</w:t>
            </w:r>
            <w:r>
              <w:rPr>
                <w:rFonts w:hint="eastAsia" w:ascii="Calibri" w:hAnsi="Calibri" w:eastAsia="宋体" w:cs="宋体"/>
                <w:color w:val="000000"/>
                <w:kern w:val="2"/>
                <w:sz w:val="28"/>
                <w:szCs w:val="28"/>
                <w:u w:val="none"/>
                <w:lang w:eastAsia="zh-CN"/>
              </w:rPr>
              <w:t>项目开发案例。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000000"/>
                <w:kern w:val="2"/>
                <w:sz w:val="28"/>
                <w:szCs w:val="28"/>
                <w:u w:val="none"/>
              </w:rPr>
            </w:pPr>
            <w:r>
              <w:rPr>
                <w:rFonts w:hint="eastAsia" w:ascii="宋体" w:hAnsi="宋体" w:eastAsia="宋体" w:cs="宋体"/>
                <w:i w:val="0"/>
                <w:iCs w:val="0"/>
                <w:color w:val="000000"/>
                <w:kern w:val="0"/>
                <w:sz w:val="28"/>
                <w:szCs w:val="28"/>
                <w:u w:val="none" w:color="000000"/>
                <w:lang w:val="en-US" w:eastAsia="zh-CN" w:bidi="ar"/>
              </w:rPr>
              <w:t>10</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资格审查方式</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000000"/>
                <w:kern w:val="2"/>
                <w:sz w:val="28"/>
                <w:szCs w:val="28"/>
                <w:u w:val="none"/>
              </w:rPr>
            </w:pPr>
            <w:r>
              <w:rPr>
                <w:rFonts w:hint="eastAsia" w:ascii="宋体" w:hAnsi="宋体" w:eastAsia="宋体" w:cs="宋体"/>
                <w:i w:val="0"/>
                <w:iCs w:val="0"/>
                <w:color w:val="000000"/>
                <w:kern w:val="0"/>
                <w:sz w:val="28"/>
                <w:szCs w:val="28"/>
                <w:u w:val="none" w:color="000000"/>
                <w:lang w:val="en-US" w:eastAsia="zh-CN" w:bidi="ar"/>
              </w:rPr>
              <w:t>11</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现场踏勘</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自行探勘现场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12</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招标答疑会</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13</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投标保证金</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eastAsia="zh-CN"/>
              </w:rPr>
            </w:pPr>
            <w:r>
              <w:rPr>
                <w:rFonts w:hint="eastAsia" w:ascii="Calibri" w:hAnsi="Calibri" w:eastAsia="宋体" w:cs="宋体"/>
                <w:color w:val="000000"/>
                <w:kern w:val="2"/>
                <w:sz w:val="28"/>
                <w:szCs w:val="28"/>
                <w:u w:val="none"/>
              </w:rPr>
              <w:t>人民币</w:t>
            </w:r>
            <w:r>
              <w:rPr>
                <w:rFonts w:hint="eastAsia" w:ascii="Calibri" w:hAnsi="Calibri" w:cs="宋体"/>
                <w:color w:val="000000"/>
                <w:kern w:val="2"/>
                <w:sz w:val="28"/>
                <w:szCs w:val="28"/>
                <w:u w:val="none"/>
                <w:lang w:val="en-US" w:eastAsia="zh-CN"/>
              </w:rPr>
              <w:t>3000</w:t>
            </w:r>
            <w:r>
              <w:rPr>
                <w:rFonts w:hint="eastAsia" w:ascii="Calibri" w:hAnsi="Calibri" w:eastAsia="宋体" w:cs="宋体"/>
                <w:color w:val="000000"/>
                <w:kern w:val="2"/>
                <w:sz w:val="28"/>
                <w:szCs w:val="28"/>
                <w:u w:val="none"/>
              </w:rPr>
              <w:t>元，投标保证金以现金方式在开标现场缴纳</w:t>
            </w:r>
            <w:r>
              <w:rPr>
                <w:rFonts w:hint="eastAsia" w:ascii="Calibri" w:hAnsi="Calibri" w:cs="宋体"/>
                <w:color w:val="000000"/>
                <w:kern w:val="2"/>
                <w:sz w:val="28"/>
                <w:szCs w:val="28"/>
                <w:u w:val="none"/>
                <w:lang w:eastAsia="zh-CN"/>
              </w:rPr>
              <w:t>。</w:t>
            </w:r>
          </w:p>
          <w:p>
            <w:pPr>
              <w:widowControl w:val="0"/>
              <w:adjustRightInd w:val="0"/>
              <w:snapToGrid w:val="0"/>
              <w:spacing w:line="400" w:lineRule="exact"/>
              <w:jc w:val="left"/>
              <w:textAlignment w:val="auto"/>
              <w:rPr>
                <w:rFonts w:hint="eastAsia" w:ascii="Calibri" w:hAnsi="Calibri" w:cs="宋体"/>
                <w:color w:val="000000"/>
                <w:kern w:val="2"/>
                <w:sz w:val="28"/>
                <w:szCs w:val="28"/>
                <w:u w:val="none"/>
                <w:lang w:eastAsia="zh-CN"/>
              </w:rPr>
            </w:pPr>
            <w:r>
              <w:rPr>
                <w:rFonts w:hint="eastAsia" w:ascii="Calibri" w:hAnsi="Calibri" w:cs="宋体"/>
                <w:color w:val="000000"/>
                <w:kern w:val="2"/>
                <w:sz w:val="28"/>
                <w:szCs w:val="28"/>
                <w:u w:val="none"/>
                <w:lang w:eastAsia="zh-CN"/>
              </w:rPr>
              <w:t>名称：安徽相王医疗健康股份有限公司</w:t>
            </w:r>
          </w:p>
          <w:p>
            <w:pPr>
              <w:widowControl w:val="0"/>
              <w:adjustRightInd w:val="0"/>
              <w:snapToGrid w:val="0"/>
              <w:spacing w:line="400" w:lineRule="exact"/>
              <w:jc w:val="left"/>
              <w:textAlignment w:val="auto"/>
              <w:rPr>
                <w:rFonts w:hint="eastAsia" w:ascii="Calibri" w:hAnsi="Calibri" w:cs="宋体"/>
                <w:color w:val="000000"/>
                <w:kern w:val="2"/>
                <w:sz w:val="28"/>
                <w:szCs w:val="28"/>
                <w:u w:val="none"/>
                <w:lang w:eastAsia="zh-CN"/>
              </w:rPr>
            </w:pPr>
            <w:r>
              <w:rPr>
                <w:rFonts w:hint="eastAsia" w:ascii="Calibri" w:hAnsi="Calibri" w:cs="宋体"/>
                <w:color w:val="000000"/>
                <w:kern w:val="2"/>
                <w:sz w:val="28"/>
                <w:szCs w:val="28"/>
                <w:u w:val="none"/>
                <w:lang w:eastAsia="zh-CN"/>
              </w:rPr>
              <w:t>开户行：中国工商银行股份有限公司淮北人民东路支行</w:t>
            </w:r>
          </w:p>
          <w:p>
            <w:pPr>
              <w:widowControl w:val="0"/>
              <w:adjustRightInd w:val="0"/>
              <w:snapToGrid w:val="0"/>
              <w:spacing w:line="400" w:lineRule="exact"/>
              <w:jc w:val="left"/>
              <w:textAlignment w:val="auto"/>
              <w:rPr>
                <w:rFonts w:hint="eastAsia" w:ascii="Calibri" w:hAnsi="Calibri" w:cs="宋体"/>
                <w:color w:val="000000"/>
                <w:kern w:val="2"/>
                <w:sz w:val="28"/>
                <w:szCs w:val="28"/>
                <w:u w:val="none"/>
                <w:lang w:eastAsia="zh-CN"/>
              </w:rPr>
            </w:pPr>
            <w:r>
              <w:rPr>
                <w:rFonts w:hint="eastAsia" w:ascii="Calibri" w:hAnsi="Calibri" w:cs="宋体"/>
                <w:color w:val="000000"/>
                <w:kern w:val="2"/>
                <w:sz w:val="28"/>
                <w:szCs w:val="28"/>
                <w:u w:val="none"/>
                <w:lang w:eastAsia="zh-CN"/>
              </w:rPr>
              <w:t>账号：9558851305000004078</w:t>
            </w:r>
          </w:p>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如在投标截止前投标人未交纳投标保证金的，将拒收其投标文件。</w:t>
            </w:r>
          </w:p>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评标结束后，拟中标单位投标保证金由招标人留置，</w:t>
            </w:r>
            <w:r>
              <w:rPr>
                <w:rFonts w:hint="eastAsia" w:ascii="Calibri" w:hAnsi="Calibri" w:cs="宋体"/>
                <w:color w:val="000000"/>
                <w:kern w:val="2"/>
                <w:sz w:val="28"/>
                <w:szCs w:val="28"/>
                <w:u w:val="none"/>
                <w:lang w:eastAsia="zh-CN"/>
              </w:rPr>
              <w:t>非拟中标</w:t>
            </w:r>
            <w:r>
              <w:rPr>
                <w:rFonts w:hint="eastAsia" w:ascii="Calibri" w:hAnsi="Calibri" w:eastAsia="宋体" w:cs="宋体"/>
                <w:color w:val="000000"/>
                <w:kern w:val="2"/>
                <w:sz w:val="28"/>
                <w:szCs w:val="28"/>
                <w:u w:val="none"/>
              </w:rPr>
              <w:t>单位的投标保证</w:t>
            </w:r>
            <w:r>
              <w:rPr>
                <w:rFonts w:hint="eastAsia" w:ascii="Calibri" w:hAnsi="Calibri" w:eastAsia="宋体" w:cs="宋体"/>
                <w:color w:val="000000"/>
                <w:kern w:val="2"/>
                <w:sz w:val="28"/>
                <w:szCs w:val="28"/>
                <w:u w:val="none"/>
                <w:lang w:eastAsia="zh-CN"/>
              </w:rPr>
              <w:t>金</w:t>
            </w:r>
            <w:r>
              <w:rPr>
                <w:rFonts w:hint="eastAsia" w:ascii="Calibri" w:hAnsi="Calibri" w:cs="宋体"/>
                <w:color w:val="000000"/>
                <w:kern w:val="2"/>
                <w:sz w:val="28"/>
                <w:szCs w:val="28"/>
                <w:u w:val="none"/>
                <w:lang w:eastAsia="zh-CN"/>
              </w:rPr>
              <w:t>当场</w:t>
            </w:r>
            <w:r>
              <w:rPr>
                <w:rFonts w:hint="eastAsia" w:ascii="Calibri" w:hAnsi="Calibri" w:eastAsia="宋体" w:cs="宋体"/>
                <w:color w:val="000000"/>
                <w:kern w:val="2"/>
                <w:sz w:val="28"/>
                <w:szCs w:val="28"/>
                <w:u w:val="none"/>
              </w:rPr>
              <w:t>退还。定标后中标人投标保证金</w:t>
            </w:r>
            <w:r>
              <w:rPr>
                <w:rFonts w:hint="eastAsia" w:ascii="Calibri" w:hAnsi="Calibri" w:cs="宋体"/>
                <w:color w:val="000000"/>
                <w:kern w:val="2"/>
                <w:sz w:val="28"/>
                <w:szCs w:val="28"/>
                <w:u w:val="none"/>
                <w:lang w:eastAsia="zh-CN"/>
              </w:rPr>
              <w:t>在软件签收后一周内无息退还。</w:t>
            </w:r>
          </w:p>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14</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联合体投标</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w:t>
            </w:r>
            <w:r>
              <w:rPr>
                <w:rFonts w:hint="eastAsia" w:ascii="Calibri" w:hAnsi="Calibri" w:eastAsia="宋体" w:cs="宋体"/>
                <w:color w:val="000000"/>
                <w:kern w:val="2"/>
                <w:sz w:val="28"/>
                <w:szCs w:val="28"/>
                <w:u w:val="none"/>
                <w:lang w:val="zh-CN"/>
              </w:rPr>
              <w:t xml:space="preserve">允许  </w:t>
            </w:r>
            <w:r>
              <w:rPr>
                <w:rFonts w:hint="eastAsia" w:ascii="Calibri" w:hAnsi="Calibri" w:eastAsia="宋体" w:cs="宋体"/>
                <w:color w:val="000000"/>
                <w:kern w:val="2"/>
                <w:sz w:val="28"/>
                <w:szCs w:val="28"/>
                <w:u w:val="none"/>
              </w:rPr>
              <w:sym w:font="Wingdings" w:char="F0FE"/>
            </w:r>
            <w:r>
              <w:rPr>
                <w:rFonts w:hint="eastAsia" w:ascii="Calibri" w:hAnsi="Calibri" w:eastAsia="宋体" w:cs="宋体"/>
                <w:color w:val="000000"/>
                <w:kern w:val="2"/>
                <w:sz w:val="28"/>
                <w:szCs w:val="28"/>
                <w:u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15</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eastAsia="zh-CN"/>
              </w:rPr>
            </w:pPr>
            <w:r>
              <w:rPr>
                <w:rFonts w:hint="eastAsia" w:ascii="Calibri" w:hAnsi="Calibri" w:eastAsia="宋体" w:cs="宋体"/>
                <w:color w:val="000000"/>
                <w:kern w:val="2"/>
                <w:sz w:val="28"/>
                <w:szCs w:val="28"/>
                <w:u w:val="none"/>
              </w:rPr>
              <w:t>投标文件</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纸质投标文件正本一份，副本</w:t>
            </w:r>
            <w:r>
              <w:rPr>
                <w:rFonts w:hint="eastAsia" w:ascii="Calibri" w:hAnsi="Calibri" w:cs="宋体"/>
                <w:color w:val="000000"/>
                <w:kern w:val="2"/>
                <w:sz w:val="28"/>
                <w:szCs w:val="28"/>
                <w:u w:val="none"/>
                <w:lang w:eastAsia="zh-CN"/>
              </w:rPr>
              <w:t>两</w:t>
            </w:r>
            <w:r>
              <w:rPr>
                <w:rFonts w:hint="eastAsia" w:ascii="Calibri" w:hAnsi="Calibri" w:eastAsia="宋体" w:cs="宋体"/>
                <w:color w:val="000000"/>
                <w:kern w:val="2"/>
                <w:sz w:val="28"/>
                <w:szCs w:val="28"/>
                <w:u w:val="none"/>
              </w:rPr>
              <w:t>份</w:t>
            </w:r>
            <w:r>
              <w:rPr>
                <w:rFonts w:hint="eastAsia" w:ascii="Calibri" w:hAnsi="Calibri" w:eastAsia="宋体" w:cs="宋体"/>
                <w:color w:val="000000"/>
                <w:kern w:val="2"/>
                <w:sz w:val="28"/>
                <w:szCs w:val="28"/>
                <w:u w:val="none"/>
                <w:lang w:eastAsia="zh-CN"/>
              </w:rPr>
              <w:t>，电子版投标文件1份（光盘U盘均可），电子版投标文件内容须与纸质投标文件完全相同。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16</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投标文件递交方式及</w:t>
            </w:r>
            <w:r>
              <w:rPr>
                <w:rFonts w:hint="eastAsia" w:ascii="Calibri" w:hAnsi="Calibri" w:eastAsia="宋体" w:cs="宋体"/>
                <w:color w:val="000000"/>
                <w:kern w:val="2"/>
                <w:sz w:val="28"/>
                <w:szCs w:val="28"/>
                <w:u w:val="none"/>
                <w:lang w:eastAsia="zh-CN"/>
              </w:rPr>
              <w:t>投标</w:t>
            </w:r>
            <w:r>
              <w:rPr>
                <w:rFonts w:hint="eastAsia" w:ascii="Calibri" w:hAnsi="Calibri" w:eastAsia="宋体" w:cs="宋体"/>
                <w:color w:val="000000"/>
                <w:kern w:val="2"/>
                <w:sz w:val="28"/>
                <w:szCs w:val="28"/>
                <w:u w:val="none"/>
              </w:rPr>
              <w:t>截止时间</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eastAsia="zh-CN"/>
              </w:rPr>
            </w:pPr>
            <w:r>
              <w:rPr>
                <w:rFonts w:hint="eastAsia" w:ascii="Calibri" w:hAnsi="Calibri" w:cs="宋体"/>
                <w:color w:val="auto"/>
                <w:kern w:val="2"/>
                <w:sz w:val="28"/>
                <w:szCs w:val="28"/>
                <w:u w:val="none"/>
                <w:lang w:eastAsia="zh-CN"/>
              </w:rPr>
              <w:t>开标现场提交</w:t>
            </w:r>
          </w:p>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投标截止时间：202</w:t>
            </w:r>
            <w:r>
              <w:rPr>
                <w:rFonts w:hint="eastAsia" w:ascii="Calibri" w:hAnsi="Calibri" w:cs="宋体"/>
                <w:color w:val="auto"/>
                <w:kern w:val="2"/>
                <w:sz w:val="28"/>
                <w:szCs w:val="28"/>
                <w:u w:val="none"/>
                <w:lang w:val="en-US" w:eastAsia="zh-CN"/>
              </w:rPr>
              <w:t>2</w:t>
            </w:r>
            <w:r>
              <w:rPr>
                <w:rFonts w:hint="eastAsia" w:ascii="Calibri" w:hAnsi="Calibri" w:eastAsia="宋体" w:cs="宋体"/>
                <w:color w:val="auto"/>
                <w:kern w:val="2"/>
                <w:sz w:val="28"/>
                <w:szCs w:val="28"/>
                <w:u w:val="none"/>
              </w:rPr>
              <w:t>年</w:t>
            </w:r>
            <w:r>
              <w:rPr>
                <w:rFonts w:hint="eastAsia" w:ascii="Calibri" w:hAnsi="Calibri" w:cs="宋体"/>
                <w:color w:val="auto"/>
                <w:kern w:val="2"/>
                <w:sz w:val="28"/>
                <w:szCs w:val="28"/>
                <w:u w:val="none"/>
                <w:lang w:val="en-US" w:eastAsia="zh-CN"/>
              </w:rPr>
              <w:t>2</w:t>
            </w:r>
            <w:r>
              <w:rPr>
                <w:rFonts w:hint="eastAsia" w:ascii="Calibri" w:hAnsi="Calibri" w:eastAsia="宋体" w:cs="宋体"/>
                <w:color w:val="auto"/>
                <w:kern w:val="2"/>
                <w:sz w:val="28"/>
                <w:szCs w:val="28"/>
                <w:u w:val="none"/>
              </w:rPr>
              <w:t>月</w:t>
            </w:r>
            <w:r>
              <w:rPr>
                <w:rFonts w:hint="eastAsia" w:ascii="Calibri" w:hAnsi="Calibri" w:cs="宋体"/>
                <w:color w:val="auto"/>
                <w:kern w:val="2"/>
                <w:sz w:val="28"/>
                <w:szCs w:val="28"/>
                <w:u w:val="none"/>
                <w:lang w:val="en-US" w:eastAsia="zh-CN"/>
              </w:rPr>
              <w:t>22</w:t>
            </w:r>
            <w:r>
              <w:rPr>
                <w:rFonts w:hint="eastAsia" w:ascii="Calibri" w:hAnsi="Calibri" w:eastAsia="宋体" w:cs="宋体"/>
                <w:color w:val="auto"/>
                <w:kern w:val="2"/>
                <w:sz w:val="28"/>
                <w:szCs w:val="28"/>
                <w:u w:val="none"/>
              </w:rPr>
              <w:t>日</w:t>
            </w:r>
            <w:r>
              <w:rPr>
                <w:rFonts w:hint="eastAsia" w:ascii="Calibri" w:hAnsi="Calibri" w:cs="宋体"/>
                <w:color w:val="auto"/>
                <w:kern w:val="2"/>
                <w:sz w:val="28"/>
                <w:szCs w:val="28"/>
                <w:u w:val="none"/>
                <w:lang w:eastAsia="zh-CN"/>
              </w:rPr>
              <w:t>下</w:t>
            </w:r>
            <w:r>
              <w:rPr>
                <w:rFonts w:hint="eastAsia" w:ascii="Calibri" w:hAnsi="Calibri" w:eastAsia="宋体" w:cs="宋体"/>
                <w:color w:val="auto"/>
                <w:kern w:val="2"/>
                <w:sz w:val="28"/>
                <w:szCs w:val="28"/>
                <w:u w:val="none"/>
              </w:rPr>
              <w:t>午</w:t>
            </w:r>
            <w:r>
              <w:rPr>
                <w:rFonts w:hint="eastAsia" w:ascii="Calibri" w:hAnsi="Calibri" w:cs="宋体"/>
                <w:color w:val="auto"/>
                <w:kern w:val="2"/>
                <w:sz w:val="28"/>
                <w:szCs w:val="28"/>
                <w:u w:val="none"/>
                <w:lang w:val="en-US" w:eastAsia="zh-CN"/>
              </w:rPr>
              <w:t>3</w:t>
            </w:r>
            <w:r>
              <w:rPr>
                <w:rFonts w:hint="eastAsia" w:ascii="Calibri" w:hAnsi="Calibri" w:eastAsia="宋体" w:cs="宋体"/>
                <w:color w:val="auto"/>
                <w:kern w:val="2"/>
                <w:sz w:val="28"/>
                <w:szCs w:val="28"/>
                <w:u w:val="none"/>
              </w:rPr>
              <w:t>时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17</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开标时间和地点</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开标</w:t>
            </w:r>
            <w:r>
              <w:rPr>
                <w:rFonts w:hint="eastAsia" w:ascii="Calibri" w:hAnsi="Calibri" w:eastAsia="宋体" w:cs="宋体"/>
                <w:color w:val="auto"/>
                <w:kern w:val="2"/>
                <w:sz w:val="28"/>
                <w:szCs w:val="28"/>
                <w:u w:val="none"/>
              </w:rPr>
              <w:t>时间：202</w:t>
            </w:r>
            <w:r>
              <w:rPr>
                <w:rFonts w:hint="eastAsia" w:ascii="Calibri" w:hAnsi="Calibri" w:cs="宋体"/>
                <w:color w:val="auto"/>
                <w:kern w:val="2"/>
                <w:sz w:val="28"/>
                <w:szCs w:val="28"/>
                <w:u w:val="none"/>
                <w:lang w:val="en-US" w:eastAsia="zh-CN"/>
              </w:rPr>
              <w:t>2</w:t>
            </w:r>
            <w:r>
              <w:rPr>
                <w:rFonts w:hint="eastAsia" w:ascii="Calibri" w:hAnsi="Calibri" w:eastAsia="宋体" w:cs="宋体"/>
                <w:color w:val="auto"/>
                <w:kern w:val="2"/>
                <w:sz w:val="28"/>
                <w:szCs w:val="28"/>
                <w:u w:val="none"/>
              </w:rPr>
              <w:t>年</w:t>
            </w:r>
            <w:r>
              <w:rPr>
                <w:rFonts w:hint="eastAsia" w:ascii="Calibri" w:hAnsi="Calibri" w:cs="宋体"/>
                <w:color w:val="auto"/>
                <w:kern w:val="2"/>
                <w:sz w:val="28"/>
                <w:szCs w:val="28"/>
                <w:u w:val="none"/>
                <w:lang w:val="en-US" w:eastAsia="zh-CN"/>
              </w:rPr>
              <w:t>2</w:t>
            </w:r>
            <w:r>
              <w:rPr>
                <w:rFonts w:hint="eastAsia" w:ascii="Calibri" w:hAnsi="Calibri" w:eastAsia="宋体" w:cs="宋体"/>
                <w:color w:val="auto"/>
                <w:kern w:val="2"/>
                <w:sz w:val="28"/>
                <w:szCs w:val="28"/>
                <w:u w:val="none"/>
              </w:rPr>
              <w:t>月</w:t>
            </w:r>
            <w:r>
              <w:rPr>
                <w:rFonts w:hint="eastAsia" w:ascii="Calibri" w:hAnsi="Calibri" w:cs="宋体"/>
                <w:color w:val="auto"/>
                <w:kern w:val="2"/>
                <w:sz w:val="28"/>
                <w:szCs w:val="28"/>
                <w:u w:val="none"/>
                <w:lang w:val="en-US" w:eastAsia="zh-CN"/>
              </w:rPr>
              <w:t>22</w:t>
            </w:r>
            <w:r>
              <w:rPr>
                <w:rFonts w:hint="eastAsia" w:ascii="Calibri" w:hAnsi="Calibri" w:eastAsia="宋体" w:cs="宋体"/>
                <w:color w:val="auto"/>
                <w:kern w:val="2"/>
                <w:sz w:val="28"/>
                <w:szCs w:val="28"/>
                <w:u w:val="none"/>
              </w:rPr>
              <w:t>日</w:t>
            </w:r>
            <w:r>
              <w:rPr>
                <w:rFonts w:hint="eastAsia" w:ascii="Calibri" w:hAnsi="Calibri" w:cs="宋体"/>
                <w:color w:val="auto"/>
                <w:kern w:val="2"/>
                <w:sz w:val="28"/>
                <w:szCs w:val="28"/>
                <w:u w:val="none"/>
                <w:lang w:eastAsia="zh-CN"/>
              </w:rPr>
              <w:t>下</w:t>
            </w:r>
            <w:r>
              <w:rPr>
                <w:rFonts w:hint="eastAsia" w:ascii="Calibri" w:hAnsi="Calibri" w:eastAsia="宋体" w:cs="宋体"/>
                <w:color w:val="auto"/>
                <w:kern w:val="2"/>
                <w:sz w:val="28"/>
                <w:szCs w:val="28"/>
                <w:u w:val="none"/>
              </w:rPr>
              <w:t>午</w:t>
            </w:r>
            <w:r>
              <w:rPr>
                <w:rFonts w:hint="eastAsia" w:ascii="Calibri" w:hAnsi="Calibri" w:cs="宋体"/>
                <w:color w:val="auto"/>
                <w:kern w:val="2"/>
                <w:sz w:val="28"/>
                <w:szCs w:val="28"/>
                <w:u w:val="none"/>
                <w:lang w:val="en-US" w:eastAsia="zh-CN"/>
              </w:rPr>
              <w:t>3</w:t>
            </w:r>
            <w:r>
              <w:rPr>
                <w:rFonts w:hint="eastAsia" w:ascii="Calibri" w:hAnsi="Calibri" w:eastAsia="宋体" w:cs="宋体"/>
                <w:color w:val="auto"/>
                <w:kern w:val="2"/>
                <w:sz w:val="28"/>
                <w:szCs w:val="28"/>
                <w:u w:val="none"/>
              </w:rPr>
              <w:t>时 (北京时间)</w:t>
            </w:r>
          </w:p>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安徽相王医疗健康股份有限公司七号楼二楼会议室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18</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是否授权评标委员会确定中标人</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keepNext w:val="0"/>
              <w:keepLines w:val="0"/>
              <w:widowControl/>
              <w:suppressLineNumbers w:val="0"/>
              <w:jc w:val="center"/>
              <w:textAlignment w:val="center"/>
              <w:rPr>
                <w:rFonts w:hint="eastAsia" w:eastAsia="宋体" w:cs="宋体"/>
                <w:color w:val="000000"/>
                <w:sz w:val="28"/>
                <w:szCs w:val="28"/>
                <w:u w:val="none" w:color="000000"/>
                <w:lang w:val="en-US" w:eastAsia="zh-CN" w:bidi="ar-SA"/>
              </w:rPr>
            </w:pPr>
            <w:r>
              <w:rPr>
                <w:rFonts w:hint="eastAsia" w:ascii="宋体" w:hAnsi="宋体" w:eastAsia="宋体" w:cs="宋体"/>
                <w:i w:val="0"/>
                <w:iCs w:val="0"/>
                <w:color w:val="000000"/>
                <w:kern w:val="0"/>
                <w:sz w:val="28"/>
                <w:szCs w:val="28"/>
                <w:u w:val="none" w:color="000000"/>
                <w:lang w:val="en-US" w:eastAsia="zh-CN" w:bidi="ar"/>
              </w:rPr>
              <w:t>19</w:t>
            </w:r>
          </w:p>
        </w:tc>
        <w:tc>
          <w:tcPr>
            <w:tcW w:w="2047" w:type="dxa"/>
            <w:vAlign w:val="center"/>
          </w:tcPr>
          <w:p>
            <w:pPr>
              <w:snapToGrid w:val="0"/>
              <w:spacing w:line="360" w:lineRule="auto"/>
              <w:jc w:val="left"/>
              <w:rPr>
                <w:rFonts w:hint="eastAsia" w:eastAsia="宋体" w:cs="宋体"/>
                <w:color w:val="000000"/>
                <w:sz w:val="28"/>
                <w:szCs w:val="28"/>
                <w:u w:val="none" w:color="000000"/>
                <w:lang w:val="en-US" w:eastAsia="zh-CN" w:bidi="ar-SA"/>
              </w:rPr>
            </w:pPr>
            <w:r>
              <w:rPr>
                <w:rFonts w:hint="eastAsia" w:cs="宋体"/>
                <w:color w:val="000000"/>
                <w:sz w:val="28"/>
                <w:szCs w:val="28"/>
                <w:lang w:eastAsia="zh-CN"/>
              </w:rPr>
              <w:t>合同签订时间与质量保证金</w:t>
            </w:r>
          </w:p>
        </w:tc>
        <w:tc>
          <w:tcPr>
            <w:tcW w:w="6741" w:type="dxa"/>
            <w:vAlign w:val="center"/>
          </w:tcPr>
          <w:p>
            <w:pPr>
              <w:adjustRightInd w:val="0"/>
              <w:snapToGrid w:val="0"/>
              <w:spacing w:line="400" w:lineRule="exact"/>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中标单位应于接到中标通知书后</w:t>
            </w:r>
            <w:r>
              <w:rPr>
                <w:rFonts w:hint="eastAsia" w:asciiTheme="minorEastAsia" w:hAnsiTheme="minorEastAsia" w:cstheme="minorEastAsia"/>
                <w:color w:val="000000" w:themeColor="text1"/>
                <w:sz w:val="28"/>
                <w:szCs w:val="28"/>
                <w:lang w:val="en-US" w:eastAsia="zh-CN"/>
                <w14:textFill>
                  <w14:solidFill>
                    <w14:schemeClr w14:val="tx1"/>
                  </w14:solidFill>
                </w14:textFill>
              </w:rPr>
              <w:t>30</w:t>
            </w:r>
            <w:r>
              <w:rPr>
                <w:rFonts w:hint="eastAsia" w:asciiTheme="minorEastAsia" w:hAnsiTheme="minorEastAsia" w:cstheme="minorEastAsia"/>
                <w:color w:val="000000" w:themeColor="text1"/>
                <w:sz w:val="28"/>
                <w:szCs w:val="28"/>
                <w14:textFill>
                  <w14:solidFill>
                    <w14:schemeClr w14:val="tx1"/>
                  </w14:solidFill>
                </w14:textFill>
              </w:rPr>
              <w:t>日内</w:t>
            </w:r>
            <w:r>
              <w:rPr>
                <w:rFonts w:hint="eastAsia" w:asciiTheme="minorEastAsia" w:hAnsiTheme="minorEastAsia" w:cstheme="minorEastAsia"/>
                <w:color w:val="000000" w:themeColor="text1"/>
                <w:sz w:val="28"/>
                <w:szCs w:val="28"/>
                <w:lang w:eastAsia="zh-CN"/>
                <w14:textFill>
                  <w14:solidFill>
                    <w14:schemeClr w14:val="tx1"/>
                  </w14:solidFill>
                </w14:textFill>
              </w:rPr>
              <w:t>与招标单位</w:t>
            </w:r>
            <w:r>
              <w:rPr>
                <w:rFonts w:hint="eastAsia" w:asciiTheme="minorEastAsia" w:hAnsiTheme="minorEastAsia" w:cstheme="minorEastAsia"/>
                <w:color w:val="000000" w:themeColor="text1"/>
                <w:sz w:val="28"/>
                <w:szCs w:val="28"/>
                <w14:textFill>
                  <w14:solidFill>
                    <w14:schemeClr w14:val="tx1"/>
                  </w14:solidFill>
                </w14:textFill>
              </w:rPr>
              <w:t>签订合同</w:t>
            </w:r>
            <w:r>
              <w:rPr>
                <w:rFonts w:hint="eastAsia" w:asciiTheme="minorEastAsia" w:hAnsiTheme="minorEastAsia" w:cstheme="minorEastAsia"/>
                <w:color w:val="000000" w:themeColor="text1"/>
                <w:sz w:val="28"/>
                <w:szCs w:val="28"/>
                <w:lang w:eastAsia="zh-CN"/>
                <w14:textFill>
                  <w14:solidFill>
                    <w14:schemeClr w14:val="tx1"/>
                  </w14:solidFill>
                </w14:textFill>
              </w:rPr>
              <w:t>，若</w:t>
            </w:r>
            <w:r>
              <w:rPr>
                <w:rFonts w:hint="eastAsia" w:asciiTheme="minorEastAsia" w:hAnsiTheme="minorEastAsia" w:cstheme="minorEastAsia"/>
                <w:color w:val="000000" w:themeColor="text1"/>
                <w:sz w:val="28"/>
                <w:szCs w:val="28"/>
                <w14:textFill>
                  <w14:solidFill>
                    <w14:schemeClr w14:val="tx1"/>
                  </w14:solidFill>
                </w14:textFill>
              </w:rPr>
              <w:t>无正当理由的视为自动放弃中标资格。</w:t>
            </w:r>
          </w:p>
          <w:p>
            <w:pPr>
              <w:adjustRightInd w:val="0"/>
              <w:snapToGrid w:val="0"/>
              <w:spacing w:line="400" w:lineRule="exact"/>
              <w:jc w:val="left"/>
              <w:rPr>
                <w:rFonts w:hint="eastAsia" w:ascii="宋体"/>
                <w:color w:val="000000"/>
                <w:sz w:val="24"/>
                <w:u w:val="none" w:color="000000"/>
                <w:lang w:val="en-US" w:eastAsia="zh-CN" w:bidi="ar-SA"/>
              </w:rPr>
            </w:pPr>
            <w:r>
              <w:rPr>
                <w:rFonts w:hint="eastAsia" w:cs="宋体"/>
                <w:color w:val="000000" w:themeColor="text1"/>
                <w:sz w:val="28"/>
                <w:szCs w:val="28"/>
                <w:lang w:eastAsia="zh-CN"/>
                <w14:textFill>
                  <w14:solidFill>
                    <w14:schemeClr w14:val="tx1"/>
                  </w14:solidFill>
                </w14:textFill>
              </w:rPr>
              <w:t>质量保证金为合同价款的</w:t>
            </w:r>
            <w:r>
              <w:rPr>
                <w:rFonts w:hint="eastAsia" w:cs="宋体"/>
                <w:color w:val="000000" w:themeColor="text1"/>
                <w:sz w:val="28"/>
                <w:szCs w:val="28"/>
                <w:lang w:val="en-US" w:eastAsia="zh-CN"/>
                <w14:textFill>
                  <w14:solidFill>
                    <w14:schemeClr w14:val="tx1"/>
                  </w14:solidFill>
                </w14:textFill>
              </w:rPr>
              <w:t>5</w:t>
            </w:r>
            <w:r>
              <w:rPr>
                <w:rFonts w:hint="eastAsia" w:asciiTheme="minorEastAsia" w:hAnsiTheme="minorEastAsia" w:cstheme="minorEastAsia"/>
                <w:color w:val="000000" w:themeColor="text1"/>
                <w:sz w:val="28"/>
                <w:szCs w:val="28"/>
                <w:lang w:val="en-US" w:eastAsia="zh-CN"/>
                <w14:textFill>
                  <w14:solidFill>
                    <w14:schemeClr w14:val="tx1"/>
                  </w14:solidFill>
                </w14:textFill>
              </w:rPr>
              <w:t>%，</w:t>
            </w:r>
            <w:r>
              <w:rPr>
                <w:rFonts w:hint="eastAsia" w:cs="宋体"/>
                <w:color w:val="000000" w:themeColor="text1"/>
                <w:sz w:val="28"/>
                <w:szCs w:val="28"/>
                <w:lang w:val="en-US" w:eastAsia="zh-CN"/>
                <w14:textFill>
                  <w14:solidFill>
                    <w14:schemeClr w14:val="tx1"/>
                  </w14:solidFill>
                </w14:textFill>
              </w:rPr>
              <w:t>在合同价款中预先扣留，质量保证金支付详见合同主要条款。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20</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评标结果公示</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评标结果在</w:t>
            </w:r>
            <w:r>
              <w:rPr>
                <w:rFonts w:hint="eastAsia" w:cs="宋体" w:asciiTheme="minorEastAsia" w:hAnsiTheme="minorEastAsia"/>
                <w:color w:val="000000" w:themeColor="text1"/>
                <w:kern w:val="0"/>
                <w:sz w:val="28"/>
                <w:szCs w:val="28"/>
                <w14:textFill>
                  <w14:solidFill>
                    <w14:schemeClr w14:val="tx1"/>
                  </w14:solidFill>
                </w14:textFill>
              </w:rPr>
              <w:t>安徽皖北康复医院官网</w:t>
            </w:r>
            <w:r>
              <w:rPr>
                <w:rFonts w:hint="eastAsia" w:ascii="Calibri" w:hAnsi="Calibri" w:eastAsia="宋体" w:cs="宋体"/>
                <w:color w:val="000000"/>
                <w:kern w:val="2"/>
                <w:sz w:val="28"/>
                <w:szCs w:val="28"/>
                <w:u w:val="none"/>
              </w:rPr>
              <w:t>进行公示；公示内容包括招标项目名称、中标人名单、招标人和电话。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0" w:type="dxa"/>
            <w:vAlign w:val="center"/>
          </w:tcPr>
          <w:p>
            <w:pPr>
              <w:keepNext w:val="0"/>
              <w:keepLines w:val="0"/>
              <w:widowControl/>
              <w:suppressLineNumbers w:val="0"/>
              <w:jc w:val="center"/>
              <w:textAlignment w:val="center"/>
              <w:rPr>
                <w:rFonts w:hint="eastAsia"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21</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中标服务费</w:t>
            </w:r>
          </w:p>
        </w:tc>
        <w:tc>
          <w:tcPr>
            <w:tcW w:w="6741" w:type="dxa"/>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val="en-US" w:eastAsia="zh-CN"/>
              </w:rPr>
              <w:t>中标人须以现金缴纳2000元中标服务费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22</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报名方式</w:t>
            </w:r>
            <w:r>
              <w:rPr>
                <w:rFonts w:hint="eastAsia" w:ascii="Calibri" w:hAnsi="Calibri" w:eastAsia="宋体" w:cs="宋体"/>
                <w:color w:val="000000"/>
                <w:kern w:val="2"/>
                <w:sz w:val="28"/>
                <w:szCs w:val="28"/>
                <w:u w:val="none"/>
                <w:lang w:eastAsia="zh-CN"/>
              </w:rPr>
              <w:t>与报名截止时间</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采取网上报</w:t>
            </w:r>
            <w:r>
              <w:rPr>
                <w:rFonts w:hint="eastAsia" w:ascii="Calibri" w:hAnsi="Calibri" w:eastAsia="宋体" w:cs="宋体"/>
                <w:color w:val="auto"/>
                <w:kern w:val="2"/>
                <w:sz w:val="28"/>
                <w:szCs w:val="28"/>
                <w:u w:val="none"/>
              </w:rPr>
              <w:t>名，</w:t>
            </w:r>
            <w:r>
              <w:rPr>
                <w:rFonts w:hint="eastAsia" w:ascii="Calibri" w:hAnsi="Calibri" w:eastAsia="宋体" w:cs="宋体"/>
                <w:color w:val="auto"/>
                <w:kern w:val="2"/>
                <w:sz w:val="28"/>
                <w:szCs w:val="28"/>
                <w:u w:val="none"/>
                <w:lang w:eastAsia="zh-CN"/>
              </w:rPr>
              <w:t>于</w:t>
            </w:r>
            <w:r>
              <w:rPr>
                <w:rFonts w:hint="eastAsia" w:ascii="Calibri" w:hAnsi="Calibri" w:eastAsia="宋体" w:cs="宋体"/>
                <w:color w:val="auto"/>
                <w:kern w:val="2"/>
                <w:sz w:val="28"/>
                <w:szCs w:val="28"/>
                <w:u w:val="none"/>
                <w:lang w:val="en-US" w:eastAsia="zh-CN"/>
              </w:rPr>
              <w:t>202</w:t>
            </w:r>
            <w:r>
              <w:rPr>
                <w:rFonts w:hint="eastAsia" w:ascii="Calibri" w:hAnsi="Calibri" w:cs="宋体"/>
                <w:color w:val="auto"/>
                <w:kern w:val="2"/>
                <w:sz w:val="28"/>
                <w:szCs w:val="28"/>
                <w:u w:val="none"/>
                <w:lang w:val="en-US" w:eastAsia="zh-CN"/>
              </w:rPr>
              <w:t>2</w:t>
            </w:r>
            <w:r>
              <w:rPr>
                <w:rFonts w:hint="eastAsia" w:ascii="Calibri" w:hAnsi="Calibri" w:eastAsia="宋体" w:cs="宋体"/>
                <w:color w:val="auto"/>
                <w:kern w:val="2"/>
                <w:sz w:val="28"/>
                <w:szCs w:val="28"/>
                <w:u w:val="none"/>
                <w:lang w:val="en-US" w:eastAsia="zh-CN"/>
              </w:rPr>
              <w:t>年</w:t>
            </w:r>
            <w:r>
              <w:rPr>
                <w:rFonts w:hint="eastAsia" w:ascii="Calibri" w:hAnsi="Calibri" w:cs="宋体"/>
                <w:color w:val="auto"/>
                <w:kern w:val="2"/>
                <w:sz w:val="28"/>
                <w:szCs w:val="28"/>
                <w:u w:val="none"/>
                <w:lang w:val="en-US" w:eastAsia="zh-CN"/>
              </w:rPr>
              <w:t>2</w:t>
            </w:r>
            <w:r>
              <w:rPr>
                <w:rFonts w:hint="eastAsia" w:ascii="Calibri" w:hAnsi="Calibri" w:eastAsia="宋体" w:cs="宋体"/>
                <w:color w:val="auto"/>
                <w:kern w:val="2"/>
                <w:sz w:val="28"/>
                <w:szCs w:val="28"/>
                <w:u w:val="none"/>
                <w:lang w:val="en-US" w:eastAsia="zh-CN"/>
              </w:rPr>
              <w:t>月</w:t>
            </w:r>
            <w:r>
              <w:rPr>
                <w:rFonts w:hint="eastAsia" w:ascii="Calibri" w:hAnsi="Calibri" w:cs="宋体"/>
                <w:color w:val="auto"/>
                <w:kern w:val="2"/>
                <w:sz w:val="28"/>
                <w:szCs w:val="28"/>
                <w:u w:val="none"/>
                <w:lang w:val="en-US" w:eastAsia="zh-CN"/>
              </w:rPr>
              <w:t>21</w:t>
            </w:r>
            <w:r>
              <w:rPr>
                <w:rFonts w:hint="eastAsia" w:ascii="Calibri" w:hAnsi="Calibri" w:eastAsia="宋体" w:cs="宋体"/>
                <w:color w:val="auto"/>
                <w:kern w:val="2"/>
                <w:sz w:val="28"/>
                <w:szCs w:val="28"/>
                <w:u w:val="none"/>
                <w:lang w:val="en-US" w:eastAsia="zh-CN"/>
              </w:rPr>
              <w:t>日下午1</w:t>
            </w:r>
            <w:r>
              <w:rPr>
                <w:rFonts w:hint="eastAsia" w:ascii="Calibri" w:hAnsi="Calibri" w:eastAsia="宋体" w:cs="宋体"/>
                <w:color w:val="000000"/>
                <w:kern w:val="2"/>
                <w:sz w:val="28"/>
                <w:szCs w:val="28"/>
                <w:u w:val="none"/>
                <w:lang w:val="en-US" w:eastAsia="zh-CN"/>
              </w:rPr>
              <w:t>7：00前，</w:t>
            </w:r>
            <w:r>
              <w:rPr>
                <w:rFonts w:hint="eastAsia" w:ascii="Calibri" w:hAnsi="Calibri" w:eastAsia="宋体" w:cs="宋体"/>
                <w:color w:val="000000"/>
                <w:kern w:val="2"/>
                <w:sz w:val="28"/>
                <w:szCs w:val="28"/>
                <w:u w:val="none"/>
              </w:rPr>
              <w:t>将投标单位的营业执照影印件、单位联系方式通过电子邮件形式发送至</w:t>
            </w:r>
            <w:r>
              <w:rPr>
                <w:rFonts w:hint="eastAsia" w:ascii="Calibri" w:hAnsi="Calibri" w:cs="宋体"/>
                <w:color w:val="000000"/>
                <w:kern w:val="2"/>
                <w:sz w:val="28"/>
                <w:szCs w:val="28"/>
                <w:u w:val="none" w:color="auto"/>
                <w:lang w:val="en-US" w:eastAsia="zh-CN"/>
              </w:rPr>
              <w:t>2295829959@qq.com</w:t>
            </w:r>
            <w:r>
              <w:rPr>
                <w:rFonts w:hint="eastAsia" w:ascii="Calibri" w:hAnsi="Calibri" w:eastAsia="宋体" w:cs="宋体"/>
                <w:color w:val="000000"/>
                <w:kern w:val="2"/>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vAlign w:val="center"/>
          </w:tcPr>
          <w:p>
            <w:pPr>
              <w:keepNext w:val="0"/>
              <w:keepLines w:val="0"/>
              <w:widowControl/>
              <w:suppressLineNumbers w:val="0"/>
              <w:jc w:val="center"/>
              <w:textAlignment w:val="center"/>
              <w:rPr>
                <w:rFonts w:hint="default" w:ascii="Calibri" w:hAnsi="Calibri" w:eastAsia="宋体" w:cs="宋体"/>
                <w:color w:val="000000"/>
                <w:kern w:val="2"/>
                <w:sz w:val="28"/>
                <w:szCs w:val="28"/>
                <w:u w:val="none"/>
                <w:lang w:val="en-US" w:eastAsia="zh-CN"/>
              </w:rPr>
            </w:pPr>
            <w:r>
              <w:rPr>
                <w:rFonts w:hint="eastAsia" w:ascii="宋体" w:hAnsi="宋体" w:eastAsia="宋体" w:cs="宋体"/>
                <w:i w:val="0"/>
                <w:iCs w:val="0"/>
                <w:color w:val="000000"/>
                <w:kern w:val="0"/>
                <w:sz w:val="28"/>
                <w:szCs w:val="28"/>
                <w:u w:val="none" w:color="000000"/>
                <w:lang w:val="en-US" w:eastAsia="zh-CN" w:bidi="ar"/>
              </w:rPr>
              <w:t>23</w:t>
            </w:r>
          </w:p>
        </w:tc>
        <w:tc>
          <w:tcPr>
            <w:tcW w:w="2047"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投标人提出疑问及答疑澄清的截止时间及方式</w:t>
            </w:r>
          </w:p>
        </w:tc>
        <w:tc>
          <w:tcPr>
            <w:tcW w:w="6741" w:type="dxa"/>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投标人如对招标文件提出质疑，请在202</w:t>
            </w:r>
            <w:r>
              <w:rPr>
                <w:rFonts w:hint="eastAsia" w:ascii="Calibri" w:hAnsi="Calibri" w:cs="宋体"/>
                <w:color w:val="000000"/>
                <w:kern w:val="2"/>
                <w:sz w:val="28"/>
                <w:szCs w:val="28"/>
                <w:u w:val="none"/>
                <w:lang w:val="en-US" w:eastAsia="zh-CN"/>
              </w:rPr>
              <w:t>2</w:t>
            </w:r>
            <w:r>
              <w:rPr>
                <w:rFonts w:hint="eastAsia" w:ascii="Calibri" w:hAnsi="Calibri" w:eastAsia="宋体" w:cs="宋体"/>
                <w:color w:val="000000"/>
                <w:kern w:val="2"/>
                <w:sz w:val="28"/>
                <w:szCs w:val="28"/>
                <w:u w:val="none"/>
              </w:rPr>
              <w:t>年</w:t>
            </w:r>
            <w:r>
              <w:rPr>
                <w:rFonts w:hint="eastAsia" w:ascii="Calibri" w:hAnsi="Calibri" w:cs="宋体"/>
                <w:color w:val="000000"/>
                <w:kern w:val="2"/>
                <w:sz w:val="28"/>
                <w:szCs w:val="28"/>
                <w:u w:val="none"/>
                <w:lang w:val="en-US" w:eastAsia="zh-CN"/>
              </w:rPr>
              <w:t>2</w:t>
            </w:r>
            <w:r>
              <w:rPr>
                <w:rFonts w:hint="eastAsia" w:ascii="Calibri" w:hAnsi="Calibri" w:eastAsia="宋体" w:cs="宋体"/>
                <w:color w:val="000000"/>
                <w:kern w:val="2"/>
                <w:sz w:val="28"/>
                <w:szCs w:val="28"/>
                <w:u w:val="none"/>
              </w:rPr>
              <w:t>月</w:t>
            </w:r>
            <w:r>
              <w:rPr>
                <w:rFonts w:hint="eastAsia" w:ascii="Calibri" w:hAnsi="Calibri" w:cs="宋体"/>
                <w:color w:val="000000"/>
                <w:kern w:val="2"/>
                <w:sz w:val="28"/>
                <w:szCs w:val="28"/>
                <w:u w:val="none"/>
                <w:lang w:val="en-US" w:eastAsia="zh-CN"/>
              </w:rPr>
              <w:t>17</w:t>
            </w:r>
            <w:r>
              <w:rPr>
                <w:rFonts w:hint="eastAsia" w:ascii="Calibri" w:hAnsi="Calibri" w:eastAsia="宋体" w:cs="宋体"/>
                <w:color w:val="000000"/>
                <w:kern w:val="2"/>
                <w:sz w:val="28"/>
                <w:szCs w:val="28"/>
                <w:u w:val="none"/>
              </w:rPr>
              <w:t>日上午1</w:t>
            </w:r>
            <w:r>
              <w:rPr>
                <w:rFonts w:hint="eastAsia" w:ascii="Calibri" w:hAnsi="Calibri" w:eastAsia="宋体" w:cs="宋体"/>
                <w:color w:val="000000"/>
                <w:kern w:val="2"/>
                <w:sz w:val="28"/>
                <w:szCs w:val="28"/>
                <w:u w:val="none"/>
                <w:lang w:val="en-US" w:eastAsia="zh-CN"/>
              </w:rPr>
              <w:t>1</w:t>
            </w:r>
            <w:r>
              <w:rPr>
                <w:rFonts w:hint="eastAsia" w:ascii="Calibri" w:hAnsi="Calibri" w:cs="宋体"/>
                <w:color w:val="000000"/>
                <w:kern w:val="2"/>
                <w:sz w:val="28"/>
                <w:szCs w:val="28"/>
                <w:u w:val="none"/>
                <w:lang w:val="en-US" w:eastAsia="zh-CN"/>
              </w:rPr>
              <w:t>:00</w:t>
            </w:r>
            <w:r>
              <w:rPr>
                <w:rFonts w:hint="eastAsia" w:ascii="Calibri" w:hAnsi="Calibri" w:eastAsia="宋体" w:cs="宋体"/>
                <w:color w:val="000000"/>
                <w:kern w:val="2"/>
                <w:sz w:val="28"/>
                <w:szCs w:val="28"/>
                <w:u w:val="none"/>
              </w:rPr>
              <w:t>前以不署名的电子邮件形式发送至</w:t>
            </w:r>
            <w:r>
              <w:rPr>
                <w:rFonts w:hint="eastAsia" w:ascii="Calibri" w:hAnsi="Calibri" w:cs="宋体"/>
                <w:color w:val="000000"/>
                <w:kern w:val="2"/>
                <w:sz w:val="28"/>
                <w:szCs w:val="28"/>
                <w:u w:val="none" w:color="auto"/>
                <w:lang w:val="en-US" w:eastAsia="zh-CN"/>
              </w:rPr>
              <w:t>2295829959@qq.com</w:t>
            </w:r>
            <w:r>
              <w:rPr>
                <w:rFonts w:hint="eastAsia" w:ascii="Calibri" w:hAnsi="Calibri" w:eastAsia="宋体" w:cs="宋体"/>
                <w:color w:val="000000"/>
                <w:kern w:val="2"/>
                <w:sz w:val="28"/>
                <w:szCs w:val="28"/>
                <w:u w:val="none"/>
              </w:rPr>
              <w:t>，招标人于202</w:t>
            </w:r>
            <w:r>
              <w:rPr>
                <w:rFonts w:hint="eastAsia" w:ascii="Calibri" w:hAnsi="Calibri" w:cs="宋体"/>
                <w:color w:val="000000"/>
                <w:kern w:val="2"/>
                <w:sz w:val="28"/>
                <w:szCs w:val="28"/>
                <w:u w:val="none"/>
                <w:lang w:val="en-US" w:eastAsia="zh-CN"/>
              </w:rPr>
              <w:t>2</w:t>
            </w:r>
            <w:r>
              <w:rPr>
                <w:rFonts w:hint="eastAsia" w:ascii="Calibri" w:hAnsi="Calibri" w:eastAsia="宋体" w:cs="宋体"/>
                <w:color w:val="000000"/>
                <w:kern w:val="2"/>
                <w:sz w:val="28"/>
                <w:szCs w:val="28"/>
                <w:u w:val="none"/>
              </w:rPr>
              <w:t>年</w:t>
            </w:r>
            <w:r>
              <w:rPr>
                <w:rFonts w:hint="eastAsia" w:ascii="Calibri" w:hAnsi="Calibri" w:cs="宋体"/>
                <w:color w:val="000000"/>
                <w:kern w:val="2"/>
                <w:sz w:val="28"/>
                <w:szCs w:val="28"/>
                <w:u w:val="none"/>
                <w:lang w:val="en-US" w:eastAsia="zh-CN"/>
              </w:rPr>
              <w:t>2</w:t>
            </w:r>
            <w:r>
              <w:rPr>
                <w:rFonts w:hint="eastAsia" w:ascii="Calibri" w:hAnsi="Calibri" w:eastAsia="宋体" w:cs="宋体"/>
                <w:color w:val="000000"/>
                <w:kern w:val="2"/>
                <w:sz w:val="28"/>
                <w:szCs w:val="28"/>
                <w:u w:val="none"/>
              </w:rPr>
              <w:t>月</w:t>
            </w:r>
            <w:r>
              <w:rPr>
                <w:rFonts w:hint="eastAsia" w:ascii="Calibri" w:hAnsi="Calibri" w:cs="宋体"/>
                <w:color w:val="000000"/>
                <w:kern w:val="2"/>
                <w:sz w:val="28"/>
                <w:szCs w:val="28"/>
                <w:u w:val="none"/>
                <w:lang w:val="en-US" w:eastAsia="zh-CN"/>
              </w:rPr>
              <w:t>17</w:t>
            </w:r>
            <w:r>
              <w:rPr>
                <w:rFonts w:hint="eastAsia" w:ascii="Calibri" w:hAnsi="Calibri" w:eastAsia="宋体" w:cs="宋体"/>
                <w:color w:val="000000"/>
                <w:kern w:val="2"/>
                <w:sz w:val="28"/>
                <w:szCs w:val="28"/>
                <w:u w:val="none"/>
              </w:rPr>
              <w:t>日</w:t>
            </w:r>
            <w:r>
              <w:rPr>
                <w:rFonts w:hint="eastAsia" w:ascii="Calibri" w:hAnsi="Calibri" w:cs="宋体"/>
                <w:color w:val="000000"/>
                <w:kern w:val="2"/>
                <w:sz w:val="28"/>
                <w:szCs w:val="28"/>
                <w:u w:val="none"/>
                <w:lang w:eastAsia="zh-CN"/>
              </w:rPr>
              <w:t>下午</w:t>
            </w:r>
            <w:r>
              <w:rPr>
                <w:rFonts w:hint="eastAsia" w:ascii="Calibri" w:hAnsi="Calibri" w:cs="宋体"/>
                <w:color w:val="000000"/>
                <w:kern w:val="2"/>
                <w:sz w:val="28"/>
                <w:szCs w:val="28"/>
                <w:u w:val="none"/>
                <w:lang w:val="en-US" w:eastAsia="zh-CN"/>
              </w:rPr>
              <w:t>17：00</w:t>
            </w:r>
            <w:r>
              <w:rPr>
                <w:rFonts w:hint="eastAsia" w:ascii="Calibri" w:hAnsi="Calibri" w:eastAsia="宋体" w:cs="宋体"/>
                <w:color w:val="000000"/>
                <w:kern w:val="2"/>
                <w:sz w:val="28"/>
                <w:szCs w:val="28"/>
                <w:u w:val="none"/>
              </w:rPr>
              <w:t>时前在</w:t>
            </w:r>
            <w:r>
              <w:rPr>
                <w:rFonts w:hint="eastAsia" w:ascii="Calibri" w:hAnsi="Calibri" w:eastAsia="宋体" w:cs="宋体"/>
                <w:color w:val="000000"/>
                <w:kern w:val="2"/>
                <w:sz w:val="28"/>
                <w:szCs w:val="28"/>
                <w:u w:val="none" w:color="auto"/>
                <w:lang w:val="en-US" w:eastAsia="zh-CN"/>
              </w:rPr>
              <w:t>安徽皖北康复医院官网</w:t>
            </w:r>
            <w:r>
              <w:rPr>
                <w:rFonts w:hint="eastAsia" w:ascii="Calibri" w:hAnsi="Calibri" w:eastAsia="宋体" w:cs="宋体"/>
                <w:color w:val="000000"/>
                <w:kern w:val="2"/>
                <w:sz w:val="28"/>
                <w:szCs w:val="28"/>
                <w:u w:val="none"/>
              </w:rPr>
              <w:t>予以公告答疑，逾期的质疑要求，概不受理，开标后不得对招标文件的内容或条款提出质疑。</w:t>
            </w:r>
          </w:p>
        </w:tc>
      </w:tr>
    </w:tbl>
    <w:p>
      <w:pPr>
        <w:widowControl w:val="0"/>
        <w:snapToGrid w:val="0"/>
        <w:spacing w:before="240" w:beforeLines="100" w:after="240" w:afterLines="100" w:line="490" w:lineRule="exact"/>
        <w:jc w:val="center"/>
        <w:outlineLvl w:val="0"/>
        <w:rPr>
          <w:rFonts w:hint="eastAsia" w:ascii="宋体" w:hAnsi="宋体"/>
          <w:b/>
          <w:szCs w:val="21"/>
        </w:rPr>
      </w:pPr>
    </w:p>
    <w:p>
      <w:pPr>
        <w:pStyle w:val="2"/>
        <w:rPr>
          <w:rFonts w:hint="eastAsia"/>
        </w:rPr>
      </w:pPr>
    </w:p>
    <w:p>
      <w:pPr>
        <w:numPr>
          <w:ilvl w:val="0"/>
          <w:numId w:val="1"/>
        </w:numPr>
        <w:spacing w:before="240" w:beforeLines="100" w:after="240" w:afterLines="100" w:line="360" w:lineRule="auto"/>
        <w:jc w:val="center"/>
        <w:outlineLvl w:val="0"/>
        <w:rPr>
          <w:rFonts w:hint="eastAsia" w:ascii="宋体" w:hAnsi="宋体"/>
          <w:b/>
          <w:sz w:val="36"/>
          <w:szCs w:val="36"/>
        </w:rPr>
      </w:pPr>
      <w:r>
        <w:rPr>
          <w:rFonts w:hint="eastAsia" w:ascii="宋体" w:hAnsi="宋体"/>
          <w:b/>
          <w:sz w:val="36"/>
          <w:szCs w:val="36"/>
        </w:rPr>
        <w:t>投标人须知</w:t>
      </w:r>
    </w:p>
    <w:p>
      <w:pPr>
        <w:spacing w:before="240" w:beforeLines="100" w:after="240" w:afterLines="100" w:line="360" w:lineRule="auto"/>
        <w:jc w:val="center"/>
        <w:outlineLvl w:val="0"/>
        <w:rPr>
          <w:rFonts w:hint="eastAsia" w:ascii="宋体" w:hAnsi="宋体"/>
          <w:b/>
          <w:sz w:val="32"/>
          <w:szCs w:val="32"/>
        </w:rPr>
      </w:pPr>
      <w:r>
        <w:rPr>
          <w:rFonts w:hint="eastAsia" w:ascii="宋体" w:hAnsi="宋体"/>
          <w:b/>
          <w:sz w:val="32"/>
          <w:szCs w:val="32"/>
        </w:rPr>
        <w:t>（一）总则</w:t>
      </w:r>
    </w:p>
    <w:p>
      <w:pPr>
        <w:snapToGrid w:val="0"/>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1.项目概况</w:t>
      </w:r>
    </w:p>
    <w:p>
      <w:pPr>
        <w:snapToGrid w:val="0"/>
        <w:spacing w:line="460" w:lineRule="exact"/>
        <w:ind w:firstLine="560" w:firstLineChars="200"/>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安徽相王医疗健康股份有限公司</w:t>
      </w:r>
      <w:r>
        <w:rPr>
          <w:rFonts w:hint="eastAsia" w:ascii="宋体" w:hAnsi="宋体" w:cs="宋体"/>
          <w:b w:val="0"/>
          <w:bCs/>
          <w:sz w:val="28"/>
          <w:szCs w:val="28"/>
          <w:lang w:eastAsia="zh-CN"/>
        </w:rPr>
        <w:t>现需采购导检系统和叫号系统。</w:t>
      </w:r>
    </w:p>
    <w:p>
      <w:pPr>
        <w:snapToGrid w:val="0"/>
        <w:spacing w:line="460" w:lineRule="exact"/>
        <w:ind w:firstLine="562" w:firstLineChars="200"/>
        <w:rPr>
          <w:rFonts w:hint="eastAsia" w:ascii="宋体" w:hAnsi="宋体" w:eastAsia="宋体" w:cs="宋体"/>
          <w:b/>
          <w:sz w:val="28"/>
          <w:szCs w:val="28"/>
          <w:lang w:eastAsia="zh-CN"/>
        </w:rPr>
      </w:pPr>
      <w:r>
        <w:rPr>
          <w:rFonts w:hint="eastAsia" w:ascii="宋体" w:hAnsi="宋体" w:cs="宋体"/>
          <w:b/>
          <w:sz w:val="28"/>
          <w:szCs w:val="28"/>
          <w:lang w:val="en-US" w:eastAsia="zh-CN"/>
        </w:rPr>
        <w:t>2.参数</w:t>
      </w:r>
      <w:r>
        <w:rPr>
          <w:rFonts w:hint="eastAsia" w:ascii="宋体" w:hAnsi="宋体" w:eastAsia="宋体" w:cs="宋体"/>
          <w:b/>
          <w:sz w:val="28"/>
          <w:szCs w:val="28"/>
          <w:lang w:eastAsia="zh-CN"/>
        </w:rPr>
        <w:t>要求</w:t>
      </w:r>
    </w:p>
    <w:p>
      <w:pPr>
        <w:snapToGrid w:val="0"/>
        <w:spacing w:line="460" w:lineRule="exact"/>
        <w:ind w:firstLine="560" w:firstLineChars="200"/>
        <w:rPr>
          <w:rFonts w:hint="eastAsia" w:ascii="宋体" w:hAnsi="宋体" w:eastAsia="宋体" w:cs="宋体"/>
          <w:b/>
          <w:sz w:val="28"/>
          <w:szCs w:val="28"/>
          <w:lang w:eastAsia="zh-CN"/>
        </w:rPr>
      </w:pPr>
      <w:r>
        <w:rPr>
          <w:rFonts w:hint="eastAsia" w:ascii="宋体" w:hAnsi="宋体" w:cs="宋体"/>
          <w:b w:val="0"/>
          <w:bCs/>
          <w:sz w:val="28"/>
          <w:szCs w:val="28"/>
          <w:lang w:val="en-US" w:eastAsia="zh-CN"/>
        </w:rPr>
        <w:t>2.1</w:t>
      </w:r>
      <w:r>
        <w:rPr>
          <w:rFonts w:hint="eastAsia" w:ascii="宋体" w:hAnsi="宋体" w:cs="宋体"/>
          <w:b w:val="0"/>
          <w:bCs/>
          <w:sz w:val="28"/>
          <w:szCs w:val="28"/>
          <w:lang w:eastAsia="zh-CN"/>
        </w:rPr>
        <w:t>所有系统须为最新版本，使用简便，功能达到医院要求，需要与现有体检系统及医院信息系统无缝对接。</w:t>
      </w:r>
    </w:p>
    <w:p>
      <w:pPr>
        <w:keepNext w:val="0"/>
        <w:keepLines w:val="0"/>
        <w:pageBreakBefore w:val="0"/>
        <w:widowControl/>
        <w:kinsoku/>
        <w:wordWrap/>
        <w:overflowPunct/>
        <w:topLinePunct w:val="0"/>
        <w:autoSpaceDE/>
        <w:autoSpaceDN/>
        <w:bidi w:val="0"/>
        <w:adjustRightInd/>
        <w:ind w:firstLine="562" w:firstLineChars="200"/>
        <w:textAlignment w:val="baseline"/>
        <w:rPr>
          <w:rFonts w:ascii="宋体" w:hAnsi="宋体" w:cs="宋体"/>
          <w:b/>
          <w:sz w:val="24"/>
        </w:rPr>
      </w:pPr>
      <w:r>
        <w:rPr>
          <w:rFonts w:hint="eastAsia" w:ascii="宋体" w:hAnsi="宋体" w:eastAsia="宋体" w:cs="宋体"/>
          <w:b/>
          <w:sz w:val="28"/>
          <w:szCs w:val="28"/>
          <w:lang w:val="en-US" w:eastAsia="zh-CN"/>
        </w:rPr>
        <w:t>2.2</w:t>
      </w:r>
      <w:r>
        <w:rPr>
          <w:rFonts w:hint="eastAsia" w:ascii="宋体" w:hAnsi="宋体" w:eastAsia="宋体" w:cs="宋体"/>
          <w:b/>
          <w:sz w:val="28"/>
          <w:szCs w:val="28"/>
        </w:rPr>
        <w:t>体检中心导检系统功能参数</w:t>
      </w:r>
    </w:p>
    <w:tbl>
      <w:tblPr>
        <w:tblStyle w:val="15"/>
        <w:tblW w:w="9000" w:type="dxa"/>
        <w:tblInd w:w="0" w:type="dxa"/>
        <w:tblLayout w:type="fixed"/>
        <w:tblCellMar>
          <w:top w:w="0" w:type="dxa"/>
          <w:left w:w="0" w:type="dxa"/>
          <w:bottom w:w="0" w:type="dxa"/>
          <w:right w:w="0" w:type="dxa"/>
        </w:tblCellMar>
      </w:tblPr>
      <w:tblGrid>
        <w:gridCol w:w="1522"/>
        <w:gridCol w:w="7478"/>
      </w:tblGrid>
      <w:tr>
        <w:tblPrEx>
          <w:tblCellMar>
            <w:top w:w="0" w:type="dxa"/>
            <w:left w:w="0" w:type="dxa"/>
            <w:bottom w:w="0" w:type="dxa"/>
            <w:right w:w="0" w:type="dxa"/>
          </w:tblCellMar>
        </w:tblPrEx>
        <w:trPr>
          <w:trHeight w:val="270" w:hRule="atLeast"/>
        </w:trPr>
        <w:tc>
          <w:tcPr>
            <w:tcW w:w="1522" w:type="dxa"/>
            <w:vMerge w:val="restart"/>
            <w:tcBorders>
              <w:top w:val="single" w:color="auto" w:sz="4" w:space="0"/>
              <w:left w:val="single" w:color="000000" w:sz="4" w:space="0"/>
              <w:right w:val="single" w:color="000000" w:sz="4" w:space="0"/>
              <w:tl2br w:val="nil"/>
              <w:tr2bl w:val="nil"/>
            </w:tcBorders>
            <w:tcMar>
              <w:top w:w="15" w:type="dxa"/>
              <w:left w:w="15" w:type="dxa"/>
              <w:right w:w="15" w:type="dxa"/>
            </w:tcMar>
            <w:vAlign w:val="center"/>
          </w:tcPr>
          <w:p>
            <w:pPr>
              <w:jc w:val="center"/>
              <w:rPr>
                <w:color w:val="000000"/>
              </w:rPr>
            </w:pPr>
            <w:r>
              <w:rPr>
                <w:rFonts w:hint="eastAsia"/>
                <w:color w:val="000000"/>
              </w:rPr>
              <w:t>导检导诊台管理模块</w:t>
            </w: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支持导检界面导航功能，导检导诊台可通过系统直观的查看科室信息和科室排队人员，并且随时观察科室的压力情况。</w:t>
            </w:r>
          </w:p>
        </w:tc>
      </w:tr>
      <w:tr>
        <w:tblPrEx>
          <w:tblCellMar>
            <w:top w:w="0" w:type="dxa"/>
            <w:left w:w="0" w:type="dxa"/>
            <w:bottom w:w="0" w:type="dxa"/>
            <w:right w:w="0" w:type="dxa"/>
          </w:tblCellMar>
        </w:tblPrEx>
        <w:trPr>
          <w:trHeight w:val="540" w:hRule="atLeast"/>
        </w:trPr>
        <w:tc>
          <w:tcPr>
            <w:tcW w:w="1522" w:type="dxa"/>
            <w:vMerge w:val="continue"/>
            <w:tcBorders>
              <w:left w:val="single" w:color="000000"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支持入队管理，通过输入体检人的体检流程号即可入导检队列，或者扫指引单的条码入队。</w:t>
            </w:r>
          </w:p>
        </w:tc>
      </w:tr>
      <w:tr>
        <w:tblPrEx>
          <w:tblCellMar>
            <w:top w:w="0" w:type="dxa"/>
            <w:left w:w="0" w:type="dxa"/>
            <w:bottom w:w="0" w:type="dxa"/>
            <w:right w:w="0" w:type="dxa"/>
          </w:tblCellMar>
        </w:tblPrEx>
        <w:trPr>
          <w:trHeight w:val="235" w:hRule="atLeast"/>
        </w:trPr>
        <w:tc>
          <w:tcPr>
            <w:tcW w:w="1522" w:type="dxa"/>
            <w:vMerge w:val="continue"/>
            <w:tcBorders>
              <w:left w:val="single" w:color="000000"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color w:val="000000"/>
              </w:rPr>
            </w:pPr>
            <w:r>
              <w:rPr>
                <w:rFonts w:hint="eastAsia"/>
                <w:color w:val="000000"/>
              </w:rPr>
              <w:t>支持长等待科室（如B超）入队管理，长等待科室可以和一般检检查科室同时排队等候检查，提高体检者的时间利用率。</w:t>
            </w:r>
          </w:p>
        </w:tc>
      </w:tr>
      <w:tr>
        <w:tblPrEx>
          <w:tblCellMar>
            <w:top w:w="0" w:type="dxa"/>
            <w:left w:w="0" w:type="dxa"/>
            <w:bottom w:w="0" w:type="dxa"/>
            <w:right w:w="0" w:type="dxa"/>
          </w:tblCellMar>
        </w:tblPrEx>
        <w:trPr>
          <w:trHeight w:val="1630" w:hRule="atLeast"/>
        </w:trPr>
        <w:tc>
          <w:tcPr>
            <w:tcW w:w="1522" w:type="dxa"/>
            <w:vMerge w:val="continue"/>
            <w:tcBorders>
              <w:left w:val="single" w:color="000000"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支持体检人员管理，通过输入体检人员姓名或体检流水号可以快速检索出人员的信息。支持在导检队列中人员管理，如删除人员，则该人员就不会导检队列排队了。</w:t>
            </w:r>
          </w:p>
          <w:p>
            <w:pPr>
              <w:jc w:val="left"/>
              <w:rPr>
                <w:color w:val="000000"/>
              </w:rPr>
            </w:pPr>
            <w:r>
              <w:rPr>
                <w:rFonts w:hint="eastAsia"/>
                <w:color w:val="000000"/>
              </w:rPr>
              <w:t>支持批量删除人员。</w:t>
            </w:r>
          </w:p>
          <w:p>
            <w:pPr>
              <w:jc w:val="left"/>
              <w:rPr>
                <w:color w:val="000000"/>
              </w:rPr>
            </w:pPr>
            <w:r>
              <w:rPr>
                <w:rFonts w:hint="eastAsia"/>
                <w:color w:val="000000"/>
              </w:rPr>
              <w:t>支持单个人员加项目检查，支持批量加项。</w:t>
            </w:r>
          </w:p>
          <w:p>
            <w:pPr>
              <w:jc w:val="left"/>
              <w:rPr>
                <w:color w:val="000000"/>
              </w:rPr>
            </w:pPr>
            <w:r>
              <w:rPr>
                <w:rFonts w:hint="eastAsia"/>
                <w:color w:val="000000"/>
              </w:rPr>
              <w:t>支持单个人员删除检查项目，批量减项。</w:t>
            </w:r>
          </w:p>
          <w:p>
            <w:pPr>
              <w:jc w:val="left"/>
              <w:rPr>
                <w:color w:val="000000"/>
              </w:rPr>
            </w:pPr>
            <w:r>
              <w:rPr>
                <w:rFonts w:hint="eastAsia"/>
                <w:color w:val="000000"/>
              </w:rPr>
              <w:t>支持单拒检单个人员的科室项目，也支持批量拒检人员科室项目。</w:t>
            </w:r>
          </w:p>
          <w:p>
            <w:pPr>
              <w:jc w:val="left"/>
              <w:rPr>
                <w:color w:val="000000"/>
              </w:rPr>
            </w:pPr>
            <w:r>
              <w:rPr>
                <w:rFonts w:hint="eastAsia"/>
                <w:color w:val="000000"/>
              </w:rPr>
              <w:t>支持拒检后恢复拒检。</w:t>
            </w:r>
          </w:p>
        </w:tc>
      </w:tr>
      <w:tr>
        <w:tblPrEx>
          <w:tblCellMar>
            <w:top w:w="0" w:type="dxa"/>
            <w:left w:w="0" w:type="dxa"/>
            <w:bottom w:w="0" w:type="dxa"/>
            <w:right w:w="0" w:type="dxa"/>
          </w:tblCellMar>
        </w:tblPrEx>
        <w:trPr>
          <w:trHeight w:val="270" w:hRule="atLeast"/>
        </w:trPr>
        <w:tc>
          <w:tcPr>
            <w:tcW w:w="1522"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color w:val="000000"/>
              </w:rPr>
            </w:pPr>
            <w:r>
              <w:rPr>
                <w:rFonts w:hint="eastAsia"/>
                <w:color w:val="000000"/>
              </w:rPr>
              <w:t>导检后台管理模块</w:t>
            </w: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支持项目设置，支持对导检的项目进行设置，例如：早餐、项目所属科室等。</w:t>
            </w:r>
          </w:p>
        </w:tc>
      </w:tr>
      <w:tr>
        <w:tblPrEx>
          <w:tblCellMar>
            <w:top w:w="0" w:type="dxa"/>
            <w:left w:w="0" w:type="dxa"/>
            <w:bottom w:w="0" w:type="dxa"/>
            <w:right w:w="0" w:type="dxa"/>
          </w:tblCellMar>
        </w:tblPrEx>
        <w:trPr>
          <w:trHeight w:val="270" w:hRule="atLeast"/>
        </w:trPr>
        <w:tc>
          <w:tcPr>
            <w:tcW w:w="1522"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支持科室设置，支持对导检科室进行所属楼层区域，科室性别限制设置。</w:t>
            </w:r>
          </w:p>
        </w:tc>
      </w:tr>
      <w:tr>
        <w:tblPrEx>
          <w:tblCellMar>
            <w:top w:w="0" w:type="dxa"/>
            <w:left w:w="0" w:type="dxa"/>
            <w:bottom w:w="0" w:type="dxa"/>
            <w:right w:w="0" w:type="dxa"/>
          </w:tblCellMar>
        </w:tblPrEx>
        <w:trPr>
          <w:trHeight w:val="90" w:hRule="atLeast"/>
        </w:trPr>
        <w:tc>
          <w:tcPr>
            <w:tcW w:w="1522"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支持规则设置：</w:t>
            </w:r>
          </w:p>
          <w:p>
            <w:pPr>
              <w:numPr>
                <w:ilvl w:val="0"/>
                <w:numId w:val="2"/>
              </w:numPr>
              <w:jc w:val="left"/>
              <w:rPr>
                <w:color w:val="000000"/>
              </w:rPr>
            </w:pPr>
            <w:r>
              <w:rPr>
                <w:rFonts w:hint="eastAsia"/>
                <w:color w:val="000000"/>
              </w:rPr>
              <w:t>早餐项目优先规则：针对有早餐项目的导检科室进行优先检查，优先级别1。</w:t>
            </w:r>
          </w:p>
          <w:p>
            <w:pPr>
              <w:numPr>
                <w:ilvl w:val="0"/>
                <w:numId w:val="2"/>
              </w:numPr>
              <w:jc w:val="left"/>
              <w:rPr>
                <w:color w:val="000000"/>
              </w:rPr>
            </w:pPr>
            <w:r>
              <w:rPr>
                <w:rFonts w:hint="eastAsia"/>
                <w:color w:val="000000"/>
              </w:rPr>
              <w:t>同区域优先规则： 同一区域的导检检查完才进入下一区域检查。优先级别2。</w:t>
            </w:r>
            <w:r>
              <w:rPr>
                <w:rFonts w:hint="eastAsia"/>
                <w:color w:val="000000"/>
              </w:rPr>
              <w:br w:type="textWrapping"/>
            </w:r>
            <w:r>
              <w:rPr>
                <w:rFonts w:hint="eastAsia"/>
                <w:color w:val="000000"/>
              </w:rPr>
              <w:t>3、区域入队优先规则：针对有多个区域的导检;可以设置区域的顺序导检。优先级别3。4、前置项目优先规则:设置某个项目所在科室在其他项目所在的科室之前导检，优先级别4。</w:t>
            </w:r>
          </w:p>
          <w:p>
            <w:pPr>
              <w:jc w:val="left"/>
              <w:rPr>
                <w:color w:val="000000"/>
              </w:rPr>
            </w:pPr>
            <w:r>
              <w:rPr>
                <w:rFonts w:hint="eastAsia"/>
                <w:color w:val="000000"/>
              </w:rPr>
              <w:t>5、最短等待时间规则：科室检查的时间短的优先排队，优先级别5。</w:t>
            </w:r>
          </w:p>
        </w:tc>
      </w:tr>
      <w:tr>
        <w:tblPrEx>
          <w:tblCellMar>
            <w:top w:w="0" w:type="dxa"/>
            <w:left w:w="0" w:type="dxa"/>
            <w:bottom w:w="0" w:type="dxa"/>
            <w:right w:w="0" w:type="dxa"/>
          </w:tblCellMar>
        </w:tblPrEx>
        <w:trPr>
          <w:trHeight w:val="540" w:hRule="atLeast"/>
        </w:trPr>
        <w:tc>
          <w:tcPr>
            <w:tcW w:w="1522"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color w:val="000000"/>
              </w:rPr>
            </w:pPr>
            <w:r>
              <w:rPr>
                <w:rFonts w:hint="eastAsia"/>
                <w:color w:val="000000"/>
              </w:rPr>
              <w:t>支持医护用户管理，导检后台管理可添加修改医生账号、医生头像以及简介。</w:t>
            </w:r>
            <w:r>
              <w:rPr>
                <w:rFonts w:hint="eastAsia"/>
                <w:color w:val="000000"/>
              </w:rPr>
              <w:br w:type="textWrapping"/>
            </w:r>
            <w:r>
              <w:rPr>
                <w:rFonts w:hint="eastAsia"/>
                <w:color w:val="000000"/>
              </w:rPr>
              <w:t>支持添加修改导诊台登录账号和后台管理员的账号。</w:t>
            </w:r>
          </w:p>
        </w:tc>
      </w:tr>
      <w:tr>
        <w:tblPrEx>
          <w:tblCellMar>
            <w:top w:w="0" w:type="dxa"/>
            <w:left w:w="0" w:type="dxa"/>
            <w:bottom w:w="0" w:type="dxa"/>
            <w:right w:w="0" w:type="dxa"/>
          </w:tblCellMar>
        </w:tblPrEx>
        <w:trPr>
          <w:trHeight w:val="285" w:hRule="atLeast"/>
        </w:trPr>
        <w:tc>
          <w:tcPr>
            <w:tcW w:w="1522"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支持工作量统计，导检后台管理可按科室、诊室、体检医生、时间段进行工作量统计。</w:t>
            </w:r>
          </w:p>
        </w:tc>
      </w:tr>
      <w:tr>
        <w:tblPrEx>
          <w:tblCellMar>
            <w:top w:w="0" w:type="dxa"/>
            <w:left w:w="0" w:type="dxa"/>
            <w:bottom w:w="0" w:type="dxa"/>
            <w:right w:w="0" w:type="dxa"/>
          </w:tblCellMar>
        </w:tblPrEx>
        <w:trPr>
          <w:trHeight w:val="270" w:hRule="atLeast"/>
        </w:trPr>
        <w:tc>
          <w:tcPr>
            <w:tcW w:w="1522"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支持日志查询，查询体检人员或者医生的操作记录。</w:t>
            </w:r>
          </w:p>
        </w:tc>
      </w:tr>
      <w:tr>
        <w:tblPrEx>
          <w:tblCellMar>
            <w:top w:w="0" w:type="dxa"/>
            <w:left w:w="0" w:type="dxa"/>
            <w:bottom w:w="0" w:type="dxa"/>
            <w:right w:w="0" w:type="dxa"/>
          </w:tblCellMar>
        </w:tblPrEx>
        <w:trPr>
          <w:trHeight w:val="540" w:hRule="atLeast"/>
        </w:trPr>
        <w:tc>
          <w:tcPr>
            <w:tcW w:w="1522"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color w:val="000000"/>
              </w:rPr>
            </w:pPr>
            <w:r>
              <w:rPr>
                <w:rFonts w:hint="eastAsia"/>
                <w:color w:val="000000"/>
              </w:rPr>
              <w:t>导检医生操作模块</w:t>
            </w: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支持一站式登入，体检系统医生诊断可与体检软件合成一体，在体检软件系统中操作。</w:t>
            </w:r>
          </w:p>
        </w:tc>
      </w:tr>
      <w:tr>
        <w:tblPrEx>
          <w:tblCellMar>
            <w:top w:w="0" w:type="dxa"/>
            <w:left w:w="0" w:type="dxa"/>
            <w:bottom w:w="0" w:type="dxa"/>
            <w:right w:w="0" w:type="dxa"/>
          </w:tblCellMar>
        </w:tblPrEx>
        <w:trPr>
          <w:trHeight w:val="540" w:hRule="atLeast"/>
        </w:trPr>
        <w:tc>
          <w:tcPr>
            <w:tcW w:w="1522"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支持顺序呼叫，呼正常呼叫第一位或下一位等候者。</w:t>
            </w:r>
          </w:p>
          <w:p>
            <w:pPr>
              <w:jc w:val="left"/>
              <w:rPr>
                <w:color w:val="000000"/>
              </w:rPr>
            </w:pPr>
            <w:r>
              <w:rPr>
                <w:rFonts w:hint="eastAsia"/>
                <w:color w:val="000000"/>
              </w:rPr>
              <w:t>支持插入呼叫：碰到紧急或有特殊关系的等候者，可优先呼叫；</w:t>
            </w:r>
          </w:p>
        </w:tc>
      </w:tr>
      <w:tr>
        <w:tblPrEx>
          <w:tblCellMar>
            <w:top w:w="0" w:type="dxa"/>
            <w:left w:w="0" w:type="dxa"/>
            <w:bottom w:w="0" w:type="dxa"/>
            <w:right w:w="0" w:type="dxa"/>
          </w:tblCellMar>
        </w:tblPrEx>
        <w:trPr>
          <w:trHeight w:val="270" w:hRule="atLeast"/>
        </w:trPr>
        <w:tc>
          <w:tcPr>
            <w:tcW w:w="1522"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支持人员剔除，支持把人员从科室中剔除，剔除之后不导检该科室。</w:t>
            </w:r>
          </w:p>
        </w:tc>
      </w:tr>
      <w:tr>
        <w:tblPrEx>
          <w:tblCellMar>
            <w:top w:w="0" w:type="dxa"/>
            <w:left w:w="0" w:type="dxa"/>
            <w:bottom w:w="0" w:type="dxa"/>
            <w:right w:w="0" w:type="dxa"/>
          </w:tblCellMar>
        </w:tblPrEx>
        <w:trPr>
          <w:trHeight w:val="270" w:hRule="atLeast"/>
        </w:trPr>
        <w:tc>
          <w:tcPr>
            <w:tcW w:w="1522"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支持用户冻结，体检者特殊情况需要暂停检查可以对体检者冻结处理，回来后继续就诊。</w:t>
            </w:r>
          </w:p>
        </w:tc>
      </w:tr>
      <w:tr>
        <w:tblPrEx>
          <w:tblCellMar>
            <w:top w:w="0" w:type="dxa"/>
            <w:left w:w="0" w:type="dxa"/>
            <w:bottom w:w="0" w:type="dxa"/>
            <w:right w:w="0" w:type="dxa"/>
          </w:tblCellMar>
        </w:tblPrEx>
        <w:trPr>
          <w:trHeight w:val="270" w:hRule="atLeast"/>
        </w:trPr>
        <w:tc>
          <w:tcPr>
            <w:tcW w:w="1522" w:type="dxa"/>
            <w:vMerge w:val="continue"/>
            <w:tcBorders>
              <w:top w:val="nil"/>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支持屏幕样式设置，总屏设置、区域屏幕设置、科室屏(横屏竖屏)、诊室屏幕（横屏竖屏）设置。</w:t>
            </w:r>
          </w:p>
        </w:tc>
      </w:tr>
      <w:tr>
        <w:tblPrEx>
          <w:tblCellMar>
            <w:top w:w="0" w:type="dxa"/>
            <w:left w:w="0" w:type="dxa"/>
            <w:bottom w:w="0" w:type="dxa"/>
            <w:right w:w="0" w:type="dxa"/>
          </w:tblCellMar>
        </w:tblPrEx>
        <w:trPr>
          <w:trHeight w:val="315" w:hRule="atLeast"/>
        </w:trPr>
        <w:tc>
          <w:tcPr>
            <w:tcW w:w="1522" w:type="dxa"/>
            <w:vMerge w:val="restart"/>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jc w:val="center"/>
              <w:rPr>
                <w:rFonts w:hint="eastAsia"/>
                <w:color w:val="000000"/>
              </w:rPr>
            </w:pPr>
            <w:r>
              <w:rPr>
                <w:rFonts w:hint="eastAsia"/>
              </w:rPr>
              <w:t>统计分析</w:t>
            </w: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支持科室体检量汇总，支持按昨日、近1周、近1月、近1年及自定义日期选择时间段，统计各科室的体检人数以及平均检查效率，图表直观展示。对表格的内容支持导出选中和导出全部。</w:t>
            </w:r>
          </w:p>
        </w:tc>
      </w:tr>
      <w:tr>
        <w:tblPrEx>
          <w:tblCellMar>
            <w:top w:w="0" w:type="dxa"/>
            <w:left w:w="0" w:type="dxa"/>
            <w:bottom w:w="0" w:type="dxa"/>
            <w:right w:w="0" w:type="dxa"/>
          </w:tblCellMar>
        </w:tblPrEx>
        <w:trPr>
          <w:trHeight w:val="315" w:hRule="atLeast"/>
        </w:trPr>
        <w:tc>
          <w:tcPr>
            <w:tcW w:w="1522" w:type="dxa"/>
            <w:vMerge w:val="continue"/>
            <w:tcBorders>
              <w:top w:val="nil"/>
              <w:left w:val="single" w:color="000000" w:sz="4" w:space="0"/>
              <w:bottom w:val="nil"/>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支持医生工作量汇总，支持按昨日、近1周、近1月、近1年及自定义日期选择时间段，统计各医生的体检人数以及实际检查效率与标准的检查效率作对比，数据与图表结合，直观展示。</w:t>
            </w:r>
          </w:p>
        </w:tc>
      </w:tr>
      <w:tr>
        <w:tblPrEx>
          <w:tblCellMar>
            <w:top w:w="0" w:type="dxa"/>
            <w:left w:w="0" w:type="dxa"/>
            <w:bottom w:w="0" w:type="dxa"/>
            <w:right w:w="0" w:type="dxa"/>
          </w:tblCellMar>
        </w:tblPrEx>
        <w:trPr>
          <w:trHeight w:val="90" w:hRule="atLeast"/>
        </w:trPr>
        <w:tc>
          <w:tcPr>
            <w:tcW w:w="1522" w:type="dxa"/>
            <w:vMerge w:val="continue"/>
            <w:tcBorders>
              <w:top w:val="nil"/>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入队登记人数统计，可以按昨日、近1周、近1月、近1年及自定义日期选择时间段，查询一天当中不同时间段内的入队量，分析体检人员大概都是那个时间前来体检，方便体检中心合理安排医护人员的工作时间分配。</w:t>
            </w:r>
          </w:p>
        </w:tc>
      </w:tr>
      <w:tr>
        <w:tblPrEx>
          <w:tblCellMar>
            <w:top w:w="0" w:type="dxa"/>
            <w:left w:w="0" w:type="dxa"/>
            <w:bottom w:w="0" w:type="dxa"/>
            <w:right w:w="0" w:type="dxa"/>
          </w:tblCellMar>
        </w:tblPrEx>
        <w:trPr>
          <w:trHeight w:val="315" w:hRule="atLeast"/>
        </w:trPr>
        <w:tc>
          <w:tcPr>
            <w:tcW w:w="1522" w:type="dxa"/>
            <w:vMerge w:val="continue"/>
            <w:tcBorders>
              <w:top w:val="nil"/>
              <w:left w:val="single" w:color="000000" w:sz="4" w:space="0"/>
              <w:bottom w:val="nil"/>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left"/>
              <w:rPr>
                <w:color w:val="000000"/>
              </w:rPr>
            </w:pPr>
            <w:r>
              <w:rPr>
                <w:rFonts w:hint="eastAsia"/>
                <w:color w:val="000000"/>
              </w:rPr>
              <w:t>支持科室压力分析，可呈现各科室压力图表，男女颜色区分，并能切换查看开启或关闭状态科室。</w:t>
            </w:r>
          </w:p>
        </w:tc>
      </w:tr>
      <w:tr>
        <w:tblPrEx>
          <w:tblCellMar>
            <w:top w:w="0" w:type="dxa"/>
            <w:left w:w="0" w:type="dxa"/>
            <w:bottom w:w="0" w:type="dxa"/>
            <w:right w:w="0" w:type="dxa"/>
          </w:tblCellMar>
        </w:tblPrEx>
        <w:trPr>
          <w:trHeight w:val="1028" w:hRule="atLeast"/>
        </w:trPr>
        <w:tc>
          <w:tcPr>
            <w:tcW w:w="1522" w:type="dxa"/>
            <w:vMerge w:val="continue"/>
            <w:tcBorders>
              <w:top w:val="nil"/>
              <w:left w:val="single" w:color="000000" w:sz="4" w:space="0"/>
              <w:bottom w:val="single" w:color="auto" w:sz="4" w:space="0"/>
              <w:right w:val="single" w:color="000000" w:sz="4" w:space="0"/>
              <w:tl2br w:val="nil"/>
              <w:tr2bl w:val="nil"/>
            </w:tcBorders>
            <w:tcMar>
              <w:top w:w="15" w:type="dxa"/>
              <w:left w:w="15" w:type="dxa"/>
              <w:right w:w="15" w:type="dxa"/>
            </w:tcMar>
            <w:vAlign w:val="center"/>
          </w:tcPr>
          <w:p>
            <w:pPr>
              <w:jc w:val="center"/>
              <w:rPr>
                <w:color w:val="000000"/>
              </w:rPr>
            </w:pPr>
          </w:p>
        </w:tc>
        <w:tc>
          <w:tcPr>
            <w:tcW w:w="7478" w:type="dxa"/>
            <w:tcBorders>
              <w:top w:val="single" w:color="000000" w:sz="4" w:space="0"/>
              <w:left w:val="single" w:color="000000" w:sz="4" w:space="0"/>
              <w:bottom w:val="single" w:color="auto" w:sz="4" w:space="0"/>
              <w:right w:val="single" w:color="000000" w:sz="4" w:space="0"/>
              <w:tl2br w:val="nil"/>
              <w:tr2bl w:val="nil"/>
            </w:tcBorders>
            <w:tcMar>
              <w:top w:w="15" w:type="dxa"/>
              <w:left w:w="15" w:type="dxa"/>
              <w:right w:w="15" w:type="dxa"/>
            </w:tcMar>
            <w:vAlign w:val="center"/>
          </w:tcPr>
          <w:p>
            <w:pPr>
              <w:jc w:val="left"/>
              <w:rPr>
                <w:rFonts w:hint="eastAsia"/>
                <w:color w:val="000000"/>
              </w:rPr>
            </w:pPr>
            <w:r>
              <w:rPr>
                <w:rFonts w:hint="eastAsia"/>
              </w:rPr>
              <w:t>支持科室队列管理，在首页点击某一个科室进入科室队列详情页面，显示出该科室的排队人员，针对该科室进行功能操作(锁定科室、开启关闭科室、限定科室男女)，在该页面左右滑动可切换不同科室的队列。</w:t>
            </w:r>
          </w:p>
        </w:tc>
      </w:tr>
      <w:tr>
        <w:tblPrEx>
          <w:tblCellMar>
            <w:top w:w="0" w:type="dxa"/>
            <w:left w:w="0" w:type="dxa"/>
            <w:bottom w:w="0" w:type="dxa"/>
            <w:right w:w="0" w:type="dxa"/>
          </w:tblCellMar>
        </w:tblPrEx>
        <w:trPr>
          <w:trHeight w:val="2103" w:hRule="atLeast"/>
        </w:trPr>
        <w:tc>
          <w:tcPr>
            <w:tcW w:w="1522" w:type="dxa"/>
            <w:tcBorders>
              <w:top w:val="single" w:color="auto" w:sz="4" w:space="0"/>
              <w:left w:val="single" w:color="000000" w:sz="4" w:space="0"/>
              <w:bottom w:val="single" w:color="auto" w:sz="4" w:space="0"/>
              <w:right w:val="single" w:color="000000" w:sz="4" w:space="0"/>
              <w:tl2br w:val="nil"/>
              <w:tr2bl w:val="nil"/>
            </w:tcBorders>
            <w:tcMar>
              <w:top w:w="15" w:type="dxa"/>
              <w:left w:w="15" w:type="dxa"/>
              <w:right w:w="15" w:type="dxa"/>
            </w:tcMar>
            <w:vAlign w:val="center"/>
          </w:tcPr>
          <w:p>
            <w:pPr>
              <w:jc w:val="center"/>
              <w:rPr>
                <w:rFonts w:hint="eastAsia" w:eastAsiaTheme="minorEastAsia"/>
                <w:color w:val="000000"/>
                <w:lang w:val="en-US" w:eastAsia="zh-CN"/>
              </w:rPr>
            </w:pPr>
            <w:r>
              <w:rPr>
                <w:rFonts w:hint="eastAsia"/>
                <w:color w:val="000000"/>
                <w:lang w:val="en-US" w:eastAsia="zh-CN"/>
              </w:rPr>
              <w:t>定制功能</w:t>
            </w:r>
          </w:p>
        </w:tc>
        <w:tc>
          <w:tcPr>
            <w:tcW w:w="7478" w:type="dxa"/>
            <w:tcBorders>
              <w:top w:val="single" w:color="auto"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HAnsi" w:hAnsiTheme="minorHAnsi" w:eastAsiaTheme="minorEastAsia" w:cstheme="minorBidi"/>
                <w:color w:val="000000"/>
                <w:kern w:val="2"/>
                <w:sz w:val="21"/>
                <w:szCs w:val="24"/>
                <w:lang w:val="en-US" w:eastAsia="zh-CN" w:bidi="ar-SA"/>
              </w:rPr>
            </w:pPr>
            <w:r>
              <w:rPr>
                <w:rFonts w:hint="eastAsia"/>
                <w:color w:val="000000"/>
              </w:rPr>
              <w:t>1</w:t>
            </w:r>
            <w:r>
              <w:rPr>
                <w:rFonts w:hint="eastAsia" w:asciiTheme="minorHAnsi" w:hAnsiTheme="minorHAnsi" w:eastAsiaTheme="minorEastAsia" w:cstheme="minorBidi"/>
                <w:color w:val="000000"/>
                <w:kern w:val="2"/>
                <w:sz w:val="21"/>
                <w:szCs w:val="24"/>
                <w:lang w:val="en-US" w:eastAsia="zh-CN" w:bidi="ar-SA"/>
              </w:rPr>
              <w:t>、支持患者自助选择科室排队。</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HAnsi" w:hAnsiTheme="minorHAnsi" w:eastAsiaTheme="minorEastAsia" w:cstheme="minorBidi"/>
                <w:color w:val="000000"/>
                <w:kern w:val="2"/>
                <w:sz w:val="21"/>
                <w:szCs w:val="24"/>
                <w:lang w:val="en-US" w:eastAsia="zh-CN" w:bidi="ar-SA"/>
              </w:rPr>
            </w:pPr>
            <w:r>
              <w:rPr>
                <w:rFonts w:hint="eastAsia" w:asciiTheme="minorHAnsi" w:hAnsiTheme="minorHAnsi" w:eastAsiaTheme="minorEastAsia" w:cstheme="minorBidi"/>
                <w:color w:val="000000"/>
                <w:kern w:val="2"/>
                <w:sz w:val="21"/>
                <w:szCs w:val="24"/>
                <w:lang w:val="en-US" w:eastAsia="zh-CN" w:bidi="ar-SA"/>
              </w:rPr>
              <w:t>2、支持患者在某科室自主扫码入列排队。</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HAnsi" w:hAnsiTheme="minorHAnsi" w:eastAsiaTheme="minorEastAsia" w:cstheme="minorBidi"/>
                <w:color w:val="000000"/>
                <w:kern w:val="2"/>
                <w:sz w:val="21"/>
                <w:szCs w:val="24"/>
                <w:lang w:val="en-US" w:eastAsia="zh-CN" w:bidi="ar-SA"/>
              </w:rPr>
            </w:pPr>
            <w:r>
              <w:rPr>
                <w:rFonts w:hint="eastAsia" w:asciiTheme="minorHAnsi" w:hAnsiTheme="minorHAnsi" w:eastAsiaTheme="minorEastAsia" w:cstheme="minorBidi"/>
                <w:color w:val="000000"/>
                <w:kern w:val="2"/>
                <w:sz w:val="21"/>
                <w:szCs w:val="24"/>
                <w:lang w:val="en-US" w:eastAsia="zh-CN" w:bidi="ar-SA"/>
              </w:rPr>
              <w:t>3、支持显示屏按入列顺序显示10-30位患者。</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color w:val="000000"/>
              </w:rPr>
            </w:pPr>
            <w:r>
              <w:rPr>
                <w:rFonts w:hint="eastAsia" w:asciiTheme="minorHAnsi" w:hAnsiTheme="minorHAnsi" w:eastAsiaTheme="minorEastAsia" w:cstheme="minorBidi"/>
                <w:color w:val="000000"/>
                <w:kern w:val="2"/>
                <w:sz w:val="21"/>
                <w:szCs w:val="24"/>
                <w:lang w:val="en-US" w:eastAsia="zh-CN" w:bidi="ar-SA"/>
              </w:rPr>
              <w:t>4、CT和彩超科室支持语音叫号，大屏展示排队情况。</w:t>
            </w:r>
          </w:p>
        </w:tc>
      </w:tr>
    </w:tbl>
    <w:p>
      <w:pPr>
        <w:keepNext w:val="0"/>
        <w:keepLines w:val="0"/>
        <w:pageBreakBefore w:val="0"/>
        <w:widowControl/>
        <w:numPr>
          <w:ilvl w:val="0"/>
          <w:numId w:val="0"/>
        </w:numPr>
        <w:kinsoku/>
        <w:wordWrap/>
        <w:overflowPunct/>
        <w:topLinePunct w:val="0"/>
        <w:autoSpaceDE/>
        <w:autoSpaceDN/>
        <w:bidi w:val="0"/>
        <w:adjustRightInd/>
        <w:snapToGrid w:val="0"/>
        <w:spacing w:line="460" w:lineRule="exact"/>
        <w:ind w:firstLine="562" w:firstLineChars="200"/>
        <w:textAlignment w:val="baseline"/>
        <w:rPr>
          <w:rFonts w:hint="eastAsia" w:ascii="宋体" w:hAnsi="宋体" w:cs="宋体"/>
          <w:b/>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60" w:lineRule="exact"/>
        <w:ind w:firstLine="562" w:firstLineChars="200"/>
        <w:textAlignment w:val="baseline"/>
        <w:rPr>
          <w:rFonts w:hint="eastAsia" w:ascii="宋体" w:hAnsi="宋体" w:cs="宋体"/>
          <w:b/>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60" w:lineRule="exact"/>
        <w:ind w:firstLine="562" w:firstLineChars="200"/>
        <w:textAlignment w:val="baseline"/>
        <w:rPr>
          <w:rFonts w:hint="eastAsia" w:ascii="宋体" w:hAnsi="宋体" w:cs="宋体"/>
          <w:b/>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60" w:lineRule="exact"/>
        <w:textAlignment w:val="baseline"/>
        <w:rPr>
          <w:rFonts w:hint="eastAsia" w:ascii="宋体" w:hAnsi="宋体" w:cs="宋体"/>
          <w:b/>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60" w:lineRule="exact"/>
        <w:ind w:firstLine="562" w:firstLineChars="200"/>
        <w:textAlignment w:val="baseline"/>
        <w:rPr>
          <w:rFonts w:hint="default" w:ascii="宋体" w:hAnsi="宋体" w:cs="宋体"/>
          <w:b/>
          <w:sz w:val="28"/>
          <w:szCs w:val="28"/>
          <w:lang w:val="en-US" w:eastAsia="zh-CN"/>
        </w:rPr>
      </w:pPr>
      <w:r>
        <w:rPr>
          <w:rFonts w:hint="eastAsia" w:ascii="宋体" w:hAnsi="宋体" w:cs="宋体"/>
          <w:b/>
          <w:sz w:val="28"/>
          <w:szCs w:val="28"/>
          <w:lang w:val="en-US" w:eastAsia="zh-CN"/>
        </w:rPr>
        <w:t>2.3康复医院叫号系统功能参数</w:t>
      </w:r>
    </w:p>
    <w:tbl>
      <w:tblPr>
        <w:tblStyle w:val="16"/>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7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restart"/>
          </w:tcPr>
          <w:p>
            <w:pPr>
              <w:pStyle w:val="5"/>
              <w:widowControl w:val="0"/>
              <w:jc w:val="left"/>
              <w:outlineLvl w:val="0"/>
              <w:rPr>
                <w:rFonts w:hint="default" w:asciiTheme="minorHAnsi" w:hAnsiTheme="minorHAnsi" w:eastAsiaTheme="minorEastAsia" w:cstheme="minorBidi"/>
                <w:b w:val="0"/>
                <w:kern w:val="2"/>
                <w:sz w:val="21"/>
                <w:szCs w:val="24"/>
                <w:lang w:val="en-US" w:eastAsia="zh-CN" w:bidi="ar-SA"/>
              </w:rPr>
            </w:pPr>
          </w:p>
          <w:p>
            <w:pPr>
              <w:pStyle w:val="5"/>
              <w:widowControl w:val="0"/>
              <w:jc w:val="left"/>
              <w:outlineLvl w:val="0"/>
              <w:rPr>
                <w:rFonts w:hint="default" w:asciiTheme="minorHAnsi" w:hAnsiTheme="minorHAnsi" w:eastAsiaTheme="minorEastAsia" w:cstheme="minorBidi"/>
                <w:b w:val="0"/>
                <w:kern w:val="2"/>
                <w:sz w:val="21"/>
                <w:szCs w:val="24"/>
                <w:lang w:val="en-US" w:eastAsia="zh-CN" w:bidi="ar-SA"/>
              </w:rPr>
            </w:pPr>
          </w:p>
          <w:p>
            <w:pPr>
              <w:pStyle w:val="5"/>
              <w:widowControl w:val="0"/>
              <w:jc w:val="left"/>
              <w:outlineLvl w:val="0"/>
              <w:rPr>
                <w:rFonts w:hint="default" w:asciiTheme="minorHAnsi" w:hAnsiTheme="minorHAnsi" w:eastAsiaTheme="minorEastAsia" w:cstheme="minorBidi"/>
                <w:b w:val="0"/>
                <w:kern w:val="2"/>
                <w:sz w:val="21"/>
                <w:szCs w:val="24"/>
                <w:lang w:val="en-US" w:eastAsia="zh-CN" w:bidi="ar-SA"/>
              </w:rPr>
            </w:pPr>
          </w:p>
          <w:p>
            <w:pPr>
              <w:pStyle w:val="5"/>
              <w:widowControl w:val="0"/>
              <w:jc w:val="left"/>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总体技术要求</w:t>
            </w: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系统所有的设置及操作均为全中文windows窗口菜单形式。</w:t>
            </w:r>
          </w:p>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系统操作简单、便捷。</w:t>
            </w:r>
          </w:p>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支持个性化的虚拟呼叫器。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tcPr>
          <w:p>
            <w:pPr>
              <w:pStyle w:val="5"/>
              <w:widowControl w:val="0"/>
              <w:jc w:val="left"/>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系统需要支持与医院HIS系统多种方式对接，无需另配打印机出票。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tcPr>
          <w:p>
            <w:pPr>
              <w:pStyle w:val="5"/>
              <w:widowControl w:val="0"/>
              <w:jc w:val="left"/>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系统可设置优先级，可及时处理有优先权的患者，如老人、军人等。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0" w:type="dxa"/>
            <w:vMerge w:val="continue"/>
          </w:tcPr>
          <w:p>
            <w:pPr>
              <w:pStyle w:val="5"/>
              <w:widowControl w:val="0"/>
              <w:jc w:val="left"/>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支持登录操作功能和退出操作功能：工作开始前，输入医生账号进行登录操作，工作结束后，退出排队系统。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tcPr>
          <w:p>
            <w:pPr>
              <w:pStyle w:val="5"/>
              <w:widowControl w:val="0"/>
              <w:jc w:val="left"/>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系统需满足模块化设计。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tcPr>
          <w:p>
            <w:pPr>
              <w:pStyle w:val="5"/>
              <w:widowControl w:val="0"/>
              <w:jc w:val="center"/>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支持号码转移，患者号码可转移到不同科室队列中去，患者不必重复排队。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tcPr>
          <w:p>
            <w:pPr>
              <w:pStyle w:val="5"/>
              <w:widowControl w:val="0"/>
              <w:jc w:val="center"/>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支持患者可以选择指定医生。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0" w:type="dxa"/>
            <w:vMerge w:val="continue"/>
          </w:tcPr>
          <w:p>
            <w:pPr>
              <w:pStyle w:val="5"/>
              <w:widowControl w:val="0"/>
              <w:jc w:val="center"/>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支持医生可以选择患者前来就诊（虚拟呼叫器）。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tcPr>
          <w:p>
            <w:pPr>
              <w:pStyle w:val="5"/>
              <w:widowControl w:val="0"/>
              <w:jc w:val="center"/>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支持个性化语音可任意编辑呼叫就诊序号、患者姓名、所挂科室、专家姓名等。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tcPr>
          <w:p>
            <w:pPr>
              <w:pStyle w:val="5"/>
              <w:widowControl w:val="0"/>
              <w:jc w:val="center"/>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支持专业语音库，声音清晰自然亲切。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tcPr>
          <w:p>
            <w:pPr>
              <w:pStyle w:val="5"/>
              <w:widowControl w:val="0"/>
              <w:jc w:val="center"/>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支持个性化显示可任意编辑就诊序号、患者姓名、所挂科室、专家姓名等。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0" w:type="dxa"/>
            <w:vMerge w:val="continue"/>
          </w:tcPr>
          <w:p>
            <w:pPr>
              <w:pStyle w:val="5"/>
              <w:widowControl w:val="0"/>
              <w:jc w:val="center"/>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支持接口对接，系统需提供开放式的接口，扩展功能。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tcPr>
          <w:p>
            <w:pPr>
              <w:pStyle w:val="5"/>
              <w:widowControl w:val="0"/>
              <w:jc w:val="center"/>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支持虚拟呼叫器显示等待人数及当前患者号码。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restart"/>
          </w:tcPr>
          <w:p>
            <w:pPr>
              <w:widowControl w:val="0"/>
              <w:jc w:val="center"/>
              <w:rPr>
                <w:rFonts w:hint="eastAsia" w:asciiTheme="minorHAnsi" w:hAnsiTheme="minorHAnsi" w:eastAsiaTheme="minorEastAsia" w:cstheme="minorBidi"/>
                <w:b w:val="0"/>
                <w:kern w:val="2"/>
                <w:sz w:val="21"/>
                <w:szCs w:val="24"/>
                <w:lang w:val="en-US" w:eastAsia="zh-CN" w:bidi="ar-SA"/>
              </w:rPr>
            </w:pPr>
          </w:p>
          <w:p>
            <w:pPr>
              <w:widowControl w:val="0"/>
              <w:jc w:val="center"/>
              <w:rPr>
                <w:rFonts w:hint="eastAsia" w:asciiTheme="minorHAnsi" w:hAnsiTheme="minorHAnsi" w:eastAsiaTheme="minorEastAsia" w:cstheme="minorBidi"/>
                <w:b w:val="0"/>
                <w:kern w:val="2"/>
                <w:sz w:val="21"/>
                <w:szCs w:val="24"/>
                <w:lang w:val="en-US" w:eastAsia="zh-CN" w:bidi="ar-SA"/>
              </w:rPr>
            </w:pPr>
          </w:p>
          <w:p>
            <w:pPr>
              <w:widowControl w:val="0"/>
              <w:jc w:val="center"/>
              <w:rPr>
                <w:rFonts w:hint="eastAsia"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查询统计</w:t>
            </w: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支持医生提醒功能，系统可以自动提示医生，已有患者挂号，即将前来就诊。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tcPr>
          <w:p>
            <w:pPr>
              <w:pStyle w:val="5"/>
              <w:widowControl w:val="0"/>
              <w:jc w:val="center"/>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支持医生工作量统计，统计出具体每位医生办理时间值功能。平均就诊时间、最长时间、最短时间、最多呼叫次数、平均呼叫次数。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0" w:type="dxa"/>
            <w:vMerge w:val="continue"/>
          </w:tcPr>
          <w:p>
            <w:pPr>
              <w:widowControl w:val="0"/>
              <w:jc w:val="center"/>
              <w:rPr>
                <w:rFonts w:hint="eastAsia"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支持根据需求分年、月、日、任意几天、当天时间段进行分类查询和统计。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tcPr>
          <w:p>
            <w:pPr>
              <w:pStyle w:val="5"/>
              <w:widowControl w:val="0"/>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支持业务数据输出，输出文件可为EXCEL或文本文件功能。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tcPr>
          <w:p>
            <w:pPr>
              <w:pStyle w:val="5"/>
              <w:widowControl w:val="0"/>
              <w:outlineLvl w:val="0"/>
              <w:rPr>
                <w:rFonts w:hint="default" w:asciiTheme="minorHAnsi" w:hAnsiTheme="minorHAnsi" w:eastAsiaTheme="minorEastAsia" w:cstheme="minorBidi"/>
                <w:b w:val="0"/>
                <w:kern w:val="2"/>
                <w:sz w:val="21"/>
                <w:szCs w:val="24"/>
                <w:lang w:val="en-US" w:eastAsia="zh-CN" w:bidi="ar-SA"/>
              </w:rPr>
            </w:pPr>
          </w:p>
        </w:tc>
        <w:tc>
          <w:tcPr>
            <w:tcW w:w="7500" w:type="dxa"/>
          </w:tcPr>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default"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支持全院联网，且排队号码不重复。</w:t>
            </w:r>
          </w:p>
        </w:tc>
      </w:tr>
    </w:tbl>
    <w:p>
      <w:pPr>
        <w:snapToGrid w:val="0"/>
        <w:spacing w:line="4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bCs/>
          <w:sz w:val="28"/>
          <w:szCs w:val="28"/>
          <w:lang w:eastAsia="zh-CN"/>
        </w:rPr>
        <w:t>.</w:t>
      </w:r>
      <w:r>
        <w:rPr>
          <w:rFonts w:hint="eastAsia" w:ascii="宋体" w:hAnsi="宋体" w:eastAsia="宋体" w:cs="宋体"/>
          <w:b/>
          <w:bCs/>
          <w:sz w:val="28"/>
          <w:szCs w:val="28"/>
        </w:rPr>
        <w:t>报价要求</w:t>
      </w:r>
    </w:p>
    <w:p>
      <w:pPr>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报价采用固定价格方式，所有项目的报价均包含了投标人为完成该项内容的全部投入（包含税、费）和收益，</w:t>
      </w:r>
      <w:r>
        <w:rPr>
          <w:rFonts w:hint="eastAsia" w:ascii="宋体" w:hAnsi="宋体" w:cs="宋体"/>
          <w:sz w:val="28"/>
          <w:szCs w:val="28"/>
          <w:lang w:eastAsia="zh-CN"/>
        </w:rPr>
        <w:t>并</w:t>
      </w:r>
      <w:r>
        <w:rPr>
          <w:rFonts w:hint="eastAsia" w:ascii="宋体" w:hAnsi="宋体" w:cs="宋体"/>
          <w:b w:val="0"/>
          <w:bCs/>
          <w:sz w:val="28"/>
          <w:szCs w:val="28"/>
          <w:lang w:eastAsia="zh-CN"/>
        </w:rPr>
        <w:t>包含接口（HIS和体检软件）费用，</w:t>
      </w:r>
      <w:r>
        <w:rPr>
          <w:rFonts w:hint="eastAsia" w:ascii="宋体" w:hAnsi="宋体" w:eastAsia="宋体" w:cs="宋体"/>
          <w:sz w:val="28"/>
          <w:szCs w:val="28"/>
        </w:rPr>
        <w:t>即招标人应该支付的购买价格。</w:t>
      </w:r>
    </w:p>
    <w:p>
      <w:pPr>
        <w:snapToGrid w:val="0"/>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4.</w:t>
      </w:r>
      <w:r>
        <w:rPr>
          <w:rFonts w:hint="eastAsia" w:ascii="宋体" w:hAnsi="宋体" w:eastAsia="宋体" w:cs="宋体"/>
          <w:b/>
          <w:sz w:val="28"/>
          <w:szCs w:val="28"/>
        </w:rPr>
        <w:t>投标费用</w:t>
      </w:r>
    </w:p>
    <w:p>
      <w:pPr>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投标人在投标中产生的一切费用自理。</w:t>
      </w:r>
    </w:p>
    <w:p>
      <w:p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5</w:t>
      </w:r>
      <w:r>
        <w:rPr>
          <w:rFonts w:hint="eastAsia" w:ascii="宋体" w:hAnsi="宋体" w:eastAsia="宋体" w:cs="宋体"/>
          <w:b/>
          <w:sz w:val="28"/>
          <w:szCs w:val="28"/>
        </w:rPr>
        <w:t>.</w:t>
      </w:r>
      <w:bookmarkStart w:id="0" w:name="_Toc296602429"/>
      <w:bookmarkStart w:id="1" w:name="_Toc247592876"/>
      <w:bookmarkStart w:id="2" w:name="_Toc144974507"/>
      <w:bookmarkStart w:id="3" w:name="_Toc152042315"/>
      <w:bookmarkStart w:id="4" w:name="_Toc152045539"/>
      <w:bookmarkStart w:id="5" w:name="_Toc247513962"/>
      <w:bookmarkStart w:id="6" w:name="_Toc247527563"/>
      <w:r>
        <w:rPr>
          <w:rFonts w:hint="eastAsia" w:ascii="宋体" w:hAnsi="宋体" w:eastAsia="宋体" w:cs="宋体"/>
          <w:b/>
          <w:sz w:val="28"/>
          <w:szCs w:val="28"/>
        </w:rPr>
        <w:t>踏勘现场</w:t>
      </w:r>
      <w:bookmarkEnd w:id="0"/>
      <w:bookmarkEnd w:id="1"/>
      <w:bookmarkEnd w:id="2"/>
      <w:bookmarkEnd w:id="3"/>
      <w:bookmarkEnd w:id="4"/>
      <w:bookmarkEnd w:id="5"/>
      <w:bookmarkEnd w:id="6"/>
    </w:p>
    <w:p>
      <w:pPr>
        <w:spacing w:line="460" w:lineRule="exact"/>
        <w:ind w:firstLine="546" w:firstLineChars="195"/>
        <w:rPr>
          <w:rFonts w:hint="eastAsia" w:ascii="宋体" w:hAnsi="宋体" w:eastAsia="宋体" w:cs="宋体"/>
          <w:sz w:val="28"/>
          <w:szCs w:val="28"/>
        </w:rPr>
      </w:pPr>
      <w:r>
        <w:rPr>
          <w:rFonts w:hint="eastAsia" w:ascii="宋体" w:hAnsi="宋体" w:eastAsia="宋体" w:cs="宋体"/>
          <w:sz w:val="28"/>
          <w:szCs w:val="28"/>
        </w:rPr>
        <w:t>投标人踏勘现场发生的费用自理。</w:t>
      </w:r>
    </w:p>
    <w:p>
      <w:pPr>
        <w:spacing w:line="460" w:lineRule="exact"/>
        <w:ind w:firstLine="548" w:firstLineChars="195"/>
        <w:rPr>
          <w:rFonts w:hint="eastAsia" w:ascii="宋体" w:hAnsi="宋体" w:eastAsia="宋体" w:cs="宋体"/>
          <w:b/>
          <w:bCs/>
          <w:sz w:val="28"/>
          <w:szCs w:val="28"/>
        </w:rPr>
      </w:pP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下列情况之一者为废标</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6.1没有按照招标文件要求提交投标保证金的。</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6.2投标人不符合国家或者招标文件规定的资格条件的。</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6.3投标人的投标报价多于一个，且未指定以哪个为准。</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6.4投标文件未盖公章及法定代表人或委托代理人印章（或签名）。</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6.5投标文件未按招标文件规定的格式和要求编制。</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6.6没有对招标文件提出的要求和条件作出实质性响应的。</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6.7串通投标、以行贿手段谋取中标、以他人名义或者其他弄虚作假方式投标的。</w:t>
      </w:r>
    </w:p>
    <w:p>
      <w:pPr>
        <w:spacing w:line="460" w:lineRule="exact"/>
        <w:ind w:firstLine="546" w:firstLineChars="195"/>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cs="宋体"/>
          <w:sz w:val="28"/>
          <w:szCs w:val="28"/>
          <w:lang w:val="en-US" w:eastAsia="zh-CN"/>
        </w:rPr>
        <w:t>8</w:t>
      </w:r>
      <w:r>
        <w:rPr>
          <w:rFonts w:hint="eastAsia" w:ascii="宋体" w:hAnsi="宋体" w:eastAsia="宋体" w:cs="宋体"/>
          <w:sz w:val="28"/>
          <w:szCs w:val="28"/>
          <w:lang w:val="en-US" w:eastAsia="zh-CN"/>
        </w:rPr>
        <w:t>评委会一致确认应属于废标的其它严重情况。</w:t>
      </w:r>
    </w:p>
    <w:p>
      <w:pPr>
        <w:spacing w:line="46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7</w:t>
      </w:r>
      <w:r>
        <w:rPr>
          <w:rFonts w:hint="eastAsia" w:ascii="宋体" w:hAnsi="宋体" w:eastAsia="宋体" w:cs="宋体"/>
          <w:b/>
          <w:color w:val="auto"/>
          <w:sz w:val="28"/>
          <w:szCs w:val="28"/>
        </w:rPr>
        <w:t>.投标人注意事项</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.1投标人一旦报名且</w:t>
      </w:r>
      <w:r>
        <w:rPr>
          <w:rFonts w:hint="eastAsia" w:ascii="宋体" w:hAnsi="宋体" w:eastAsia="宋体" w:cs="宋体"/>
          <w:sz w:val="28"/>
          <w:szCs w:val="28"/>
        </w:rPr>
        <w:t>领取了本</w:t>
      </w:r>
      <w:r>
        <w:rPr>
          <w:rFonts w:hint="eastAsia" w:ascii="宋体" w:hAnsi="宋体" w:eastAsia="宋体" w:cs="宋体"/>
          <w:color w:val="auto"/>
          <w:sz w:val="28"/>
          <w:szCs w:val="28"/>
        </w:rPr>
        <w:t>招标文件并参加投标，即被认为接受了本招标文件中的所有条件和规定。投标人必须严格按招标文件的要求编制投标文件，投标文件应编制页码和目录，以便评委审核。投标文件应装订整齐，封装在投标函袋内，否则，由此产生的一切后果由投标人承担。</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.2法定代表人参加开标会议，应携带法定代表人身份证明原件和本人身份证；委托代理人参加开标会议应携带法定代表人授权书和本人身份证。</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.3投标人对采购内容中规定的技术参数、规格、数量和要求等必须完全响应。</w:t>
      </w:r>
    </w:p>
    <w:p>
      <w:pPr>
        <w:spacing w:line="460" w:lineRule="exact"/>
        <w:ind w:firstLine="548" w:firstLineChars="196"/>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.4所有投标人的投标</w:t>
      </w:r>
      <w:r>
        <w:rPr>
          <w:rFonts w:hint="eastAsia" w:ascii="宋体" w:hAnsi="宋体" w:eastAsia="宋体" w:cs="宋体"/>
          <w:sz w:val="28"/>
          <w:szCs w:val="28"/>
        </w:rPr>
        <w:t>保证金都应在投标文件规定的投标保证金缴纳截止时间前缴纳</w:t>
      </w:r>
      <w:r>
        <w:rPr>
          <w:rFonts w:hint="eastAsia" w:ascii="宋体" w:hAnsi="宋体" w:eastAsia="宋体" w:cs="宋体"/>
          <w:sz w:val="28"/>
          <w:szCs w:val="28"/>
          <w:lang w:eastAsia="zh-CN"/>
        </w:rPr>
        <w:t>。</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.5投标人被视为充分熟悉本招标项目所在地的与履行合同有关的各种情况，包括但不限于：</w:t>
      </w:r>
    </w:p>
    <w:p>
      <w:pPr>
        <w:spacing w:line="460" w:lineRule="exact"/>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（1）国家对本次投标货物和服务的生产、安装调试、验收、维修等有关法律、法规及行业管理标准；</w:t>
      </w:r>
    </w:p>
    <w:p>
      <w:pPr>
        <w:spacing w:line="460" w:lineRule="exact"/>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（2）安徽省及淮北市等有关管理部门的相关规定；</w:t>
      </w:r>
    </w:p>
    <w:p>
      <w:pPr>
        <w:spacing w:line="460" w:lineRule="exact"/>
        <w:ind w:firstLine="408" w:firstLineChars="150"/>
        <w:rPr>
          <w:rFonts w:hint="eastAsia" w:ascii="宋体" w:hAnsi="宋体" w:eastAsia="宋体" w:cs="宋体"/>
          <w:color w:val="auto"/>
          <w:spacing w:val="-4"/>
          <w:sz w:val="28"/>
          <w:szCs w:val="28"/>
        </w:rPr>
      </w:pPr>
      <w:r>
        <w:rPr>
          <w:rFonts w:hint="eastAsia" w:ascii="宋体" w:hAnsi="宋体" w:eastAsia="宋体" w:cs="宋体"/>
          <w:color w:val="auto"/>
          <w:spacing w:val="-4"/>
          <w:sz w:val="28"/>
          <w:szCs w:val="28"/>
        </w:rPr>
        <w:t>（3）</w:t>
      </w:r>
      <w:r>
        <w:rPr>
          <w:rFonts w:hint="eastAsia" w:ascii="宋体" w:hAnsi="宋体" w:eastAsia="宋体" w:cs="宋体"/>
          <w:color w:val="auto"/>
          <w:sz w:val="28"/>
          <w:szCs w:val="28"/>
        </w:rPr>
        <w:t>招标人的相关场地情况、基础建设、电力供应情况及相关设计标准。</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本招标文件不再对上述情况进行描述。</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8.</w:t>
      </w:r>
      <w:r>
        <w:rPr>
          <w:rFonts w:hint="eastAsia" w:ascii="宋体" w:hAnsi="宋体" w:eastAsia="宋体" w:cs="宋体"/>
          <w:b/>
          <w:bCs/>
          <w:color w:val="auto"/>
          <w:sz w:val="28"/>
          <w:szCs w:val="28"/>
        </w:rPr>
        <w:t>友情提醒</w:t>
      </w:r>
      <w:r>
        <w:rPr>
          <w:rFonts w:hint="eastAsia" w:ascii="宋体" w:hAnsi="宋体" w:eastAsia="宋体" w:cs="宋体"/>
          <w:b/>
          <w:bCs/>
          <w:color w:val="auto"/>
          <w:sz w:val="28"/>
          <w:szCs w:val="28"/>
        </w:rPr>
        <w:tab/>
      </w:r>
    </w:p>
    <w:p>
      <w:pPr>
        <w:spacing w:line="4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投标人请戴口罩，扫安康码进入招标人单位和开标场所</w:t>
      </w:r>
      <w:r>
        <w:rPr>
          <w:rFonts w:hint="eastAsia" w:ascii="宋体" w:hAnsi="宋体" w:eastAsia="宋体" w:cs="宋体"/>
          <w:color w:val="auto"/>
          <w:sz w:val="28"/>
          <w:szCs w:val="28"/>
          <w:lang w:eastAsia="zh-CN"/>
        </w:rPr>
        <w:t>。</w:t>
      </w:r>
    </w:p>
    <w:p>
      <w:pPr>
        <w:pStyle w:val="2"/>
        <w:ind w:left="0" w:leftChars="0" w:firstLine="0" w:firstLineChars="0"/>
        <w:rPr>
          <w:rFonts w:hint="eastAsia" w:ascii="宋体" w:hAnsi="宋体" w:eastAsia="宋体" w:cs="宋体"/>
          <w:b/>
          <w:bCs/>
          <w:color w:val="auto"/>
          <w:sz w:val="32"/>
          <w:szCs w:val="32"/>
          <w:lang w:val="en-US" w:eastAsia="zh-CN"/>
        </w:rPr>
      </w:pPr>
    </w:p>
    <w:p>
      <w:pPr>
        <w:pStyle w:val="2"/>
        <w:ind w:left="0" w:leftChars="0" w:firstLine="0" w:firstLineChars="0"/>
        <w:rPr>
          <w:rFonts w:hint="eastAsia" w:ascii="宋体" w:hAnsi="宋体" w:eastAsia="宋体" w:cs="宋体"/>
          <w:b/>
          <w:bCs/>
          <w:color w:val="auto"/>
          <w:sz w:val="32"/>
          <w:szCs w:val="32"/>
          <w:lang w:val="en-US" w:eastAsia="zh-CN"/>
        </w:rPr>
      </w:pPr>
    </w:p>
    <w:p>
      <w:pPr>
        <w:pStyle w:val="2"/>
        <w:ind w:left="0" w:leftChars="0" w:firstLine="0" w:firstLineChars="0"/>
        <w:rPr>
          <w:rFonts w:hint="eastAsia" w:ascii="宋体" w:hAnsi="宋体" w:eastAsia="宋体" w:cs="宋体"/>
          <w:b/>
          <w:bCs/>
          <w:color w:val="auto"/>
          <w:sz w:val="32"/>
          <w:szCs w:val="32"/>
          <w:lang w:val="en-US" w:eastAsia="zh-CN"/>
        </w:rPr>
      </w:pPr>
    </w:p>
    <w:p>
      <w:pPr>
        <w:pStyle w:val="2"/>
        <w:ind w:left="0" w:leftChars="0" w:firstLine="0" w:firstLineChars="0"/>
        <w:rPr>
          <w:rFonts w:hint="eastAsia" w:ascii="宋体" w:hAnsi="宋体" w:eastAsia="宋体" w:cs="宋体"/>
          <w:b/>
          <w:bCs/>
          <w:color w:val="auto"/>
          <w:sz w:val="32"/>
          <w:szCs w:val="32"/>
          <w:lang w:val="en-US" w:eastAsia="zh-CN"/>
        </w:rPr>
      </w:pPr>
    </w:p>
    <w:p>
      <w:pPr>
        <w:pStyle w:val="2"/>
        <w:ind w:left="0" w:leftChars="0" w:firstLine="0" w:firstLineChars="0"/>
        <w:rPr>
          <w:rFonts w:hint="eastAsia" w:ascii="宋体" w:hAnsi="宋体" w:eastAsia="宋体" w:cs="宋体"/>
          <w:b/>
          <w:bCs/>
          <w:color w:val="auto"/>
          <w:sz w:val="32"/>
          <w:szCs w:val="32"/>
          <w:lang w:val="en-US" w:eastAsia="zh-CN"/>
        </w:rPr>
      </w:pPr>
    </w:p>
    <w:p>
      <w:pPr>
        <w:numPr>
          <w:ilvl w:val="0"/>
          <w:numId w:val="3"/>
        </w:numPr>
        <w:spacing w:line="460" w:lineRule="exact"/>
        <w:ind w:left="0" w:leftChars="0" w:firstLine="643" w:firstLineChars="200"/>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投标文件</w:t>
      </w:r>
    </w:p>
    <w:p>
      <w:pPr>
        <w:numPr>
          <w:ilvl w:val="0"/>
          <w:numId w:val="0"/>
        </w:numPr>
        <w:spacing w:line="460" w:lineRule="exact"/>
        <w:ind w:leftChars="200"/>
        <w:jc w:val="both"/>
        <w:rPr>
          <w:rFonts w:hint="eastAsia" w:ascii="宋体" w:hAnsi="宋体" w:eastAsia="宋体" w:cs="宋体"/>
          <w:b/>
          <w:bCs/>
          <w:color w:val="auto"/>
          <w:sz w:val="32"/>
          <w:szCs w:val="32"/>
          <w:lang w:val="en-US" w:eastAsia="zh-CN"/>
        </w:rPr>
      </w:pPr>
    </w:p>
    <w:p>
      <w:pPr>
        <w:pageBreakBefore w:val="0"/>
        <w:widowControl/>
        <w:kinsoku/>
        <w:wordWrap/>
        <w:overflowPunct/>
        <w:topLinePunct w:val="0"/>
        <w:autoSpaceDE/>
        <w:autoSpaceDN/>
        <w:bidi w:val="0"/>
        <w:snapToGrid w:val="0"/>
        <w:spacing w:line="360" w:lineRule="auto"/>
        <w:ind w:firstLine="562" w:firstLineChars="200"/>
        <w:jc w:val="left"/>
        <w:textAlignment w:val="baseline"/>
        <w:rPr>
          <w:rFonts w:hint="eastAsia" w:ascii="华文仿宋" w:hAnsi="华文仿宋" w:cs="宋体"/>
          <w:b/>
          <w:bCs/>
          <w:color w:val="000000"/>
          <w:sz w:val="28"/>
          <w:szCs w:val="28"/>
          <w:lang w:val="en-US" w:eastAsia="zh-CN"/>
        </w:rPr>
      </w:pPr>
      <w:r>
        <w:rPr>
          <w:rFonts w:hint="eastAsia" w:ascii="华文仿宋" w:hAnsi="华文仿宋" w:cs="宋体"/>
          <w:b/>
          <w:bCs/>
          <w:color w:val="000000"/>
          <w:sz w:val="28"/>
          <w:szCs w:val="28"/>
          <w:lang w:val="en-US" w:eastAsia="zh-CN"/>
        </w:rPr>
        <w:t>1.</w:t>
      </w:r>
      <w:r>
        <w:rPr>
          <w:rFonts w:hint="eastAsia" w:ascii="华文仿宋" w:hAnsi="华文仿宋" w:cs="宋体"/>
          <w:b/>
          <w:bCs/>
          <w:color w:val="000000"/>
          <w:sz w:val="28"/>
          <w:szCs w:val="28"/>
        </w:rPr>
        <w:t>投标文件的</w:t>
      </w:r>
      <w:r>
        <w:rPr>
          <w:rFonts w:hint="eastAsia" w:ascii="华文仿宋" w:hAnsi="华文仿宋" w:cs="宋体"/>
          <w:b/>
          <w:bCs/>
          <w:color w:val="000000"/>
          <w:sz w:val="28"/>
          <w:szCs w:val="28"/>
          <w:lang w:eastAsia="zh-CN"/>
        </w:rPr>
        <w:t>组成</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1.1投标报价函；</w:t>
      </w:r>
      <w:r>
        <w:rPr>
          <w:rFonts w:hint="eastAsia" w:ascii="宋体" w:hAnsi="宋体" w:cs="宋体"/>
          <w:color w:val="auto"/>
          <w:sz w:val="28"/>
          <w:szCs w:val="28"/>
          <w:lang w:val="en-US" w:eastAsia="zh-CN"/>
        </w:rPr>
        <w:t>（附件一）</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投标软件报价汇总表；</w:t>
      </w:r>
      <w:r>
        <w:rPr>
          <w:rFonts w:hint="eastAsia" w:ascii="宋体" w:hAnsi="宋体" w:cs="宋体"/>
          <w:color w:val="auto"/>
          <w:sz w:val="28"/>
          <w:szCs w:val="28"/>
          <w:lang w:val="en-US" w:eastAsia="zh-CN"/>
        </w:rPr>
        <w:t>（附件二）</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法定代表人</w:t>
      </w:r>
      <w:r>
        <w:rPr>
          <w:rFonts w:hint="eastAsia" w:ascii="宋体" w:hAnsi="宋体" w:cs="宋体"/>
          <w:color w:val="auto"/>
          <w:sz w:val="28"/>
          <w:szCs w:val="28"/>
          <w:lang w:val="en-US" w:eastAsia="zh-CN"/>
        </w:rPr>
        <w:t>身份</w:t>
      </w:r>
      <w:r>
        <w:rPr>
          <w:rFonts w:hint="eastAsia" w:ascii="宋体" w:hAnsi="宋体" w:eastAsia="宋体" w:cs="宋体"/>
          <w:color w:val="auto"/>
          <w:sz w:val="28"/>
          <w:szCs w:val="28"/>
          <w:lang w:val="en-US" w:eastAsia="zh-CN"/>
        </w:rPr>
        <w:t>证明</w:t>
      </w:r>
      <w:r>
        <w:rPr>
          <w:rFonts w:hint="eastAsia" w:ascii="宋体" w:hAnsi="宋体" w:cs="宋体"/>
          <w:color w:val="auto"/>
          <w:sz w:val="28"/>
          <w:szCs w:val="28"/>
          <w:lang w:val="en-US" w:eastAsia="zh-CN"/>
        </w:rPr>
        <w:t>；（附件三）</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1.4</w:t>
      </w:r>
      <w:r>
        <w:rPr>
          <w:rFonts w:hint="eastAsia" w:ascii="宋体" w:hAnsi="宋体" w:eastAsia="宋体" w:cs="宋体"/>
          <w:color w:val="auto"/>
          <w:sz w:val="28"/>
          <w:szCs w:val="28"/>
          <w:lang w:val="en-US" w:eastAsia="zh-CN"/>
        </w:rPr>
        <w:t>法定代表人授权委托书；</w:t>
      </w:r>
      <w:r>
        <w:rPr>
          <w:rFonts w:hint="eastAsia" w:ascii="宋体" w:hAnsi="宋体" w:cs="宋体"/>
          <w:color w:val="auto"/>
          <w:sz w:val="28"/>
          <w:szCs w:val="28"/>
          <w:lang w:val="en-US" w:eastAsia="zh-CN"/>
        </w:rPr>
        <w:t>（附件四）</w:t>
      </w:r>
    </w:p>
    <w:p>
      <w:pPr>
        <w:spacing w:line="460" w:lineRule="exact"/>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1.5承诺函；（附件五）</w:t>
      </w:r>
    </w:p>
    <w:p>
      <w:pPr>
        <w:spacing w:line="460" w:lineRule="exact"/>
        <w:ind w:firstLine="560" w:firstLineChars="200"/>
        <w:rPr>
          <w:rFonts w:hint="default"/>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6质保和售后服务</w:t>
      </w:r>
      <w:r>
        <w:rPr>
          <w:rFonts w:hint="eastAsia" w:ascii="宋体" w:hAnsi="宋体" w:eastAsia="宋体" w:cs="宋体"/>
          <w:color w:val="auto"/>
          <w:sz w:val="28"/>
          <w:szCs w:val="28"/>
          <w:lang w:val="en-US" w:eastAsia="zh-CN"/>
        </w:rPr>
        <w:t>承诺</w:t>
      </w:r>
      <w:r>
        <w:rPr>
          <w:rFonts w:hint="eastAsia" w:ascii="宋体" w:hAnsi="宋体" w:cs="宋体"/>
          <w:color w:val="auto"/>
          <w:sz w:val="28"/>
          <w:szCs w:val="28"/>
          <w:lang w:val="en-US" w:eastAsia="zh-CN"/>
        </w:rPr>
        <w:t>函，承诺内容应满足招标方基本要求。在基本要求之外能够提供的其他服务也请列出；附件（六）</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val="en-US" w:eastAsia="zh-CN"/>
        </w:rPr>
        <w:t>技术说明；</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8服务方案、风险控制、应急预案</w:t>
      </w:r>
      <w:r>
        <w:rPr>
          <w:rFonts w:hint="eastAsia" w:ascii="宋体" w:hAnsi="宋体" w:eastAsia="宋体" w:cs="宋体"/>
          <w:color w:val="auto"/>
          <w:sz w:val="28"/>
          <w:szCs w:val="28"/>
          <w:lang w:val="en-US" w:eastAsia="zh-CN"/>
        </w:rPr>
        <w:t>；</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en-US" w:eastAsia="zh-CN"/>
        </w:rPr>
        <w:t>投标人同类产品</w:t>
      </w:r>
      <w:r>
        <w:rPr>
          <w:rFonts w:hint="eastAsia" w:ascii="宋体" w:hAnsi="宋体" w:cs="宋体"/>
          <w:color w:val="auto"/>
          <w:sz w:val="28"/>
          <w:szCs w:val="28"/>
          <w:lang w:val="en-US" w:eastAsia="zh-CN"/>
        </w:rPr>
        <w:t>2019年1月1日以来</w:t>
      </w:r>
      <w:r>
        <w:rPr>
          <w:rFonts w:hint="eastAsia" w:ascii="华文仿宋" w:hAnsi="华文仿宋" w:eastAsia="宋体" w:cs="宋体"/>
          <w:color w:val="000000"/>
          <w:kern w:val="0"/>
          <w:sz w:val="28"/>
          <w:szCs w:val="28"/>
          <w:u w:val="none"/>
        </w:rPr>
        <w:t>金额</w:t>
      </w:r>
      <w:r>
        <w:rPr>
          <w:rFonts w:hint="eastAsia" w:ascii="华文仿宋" w:hAnsi="华文仿宋" w:cs="宋体"/>
          <w:color w:val="000000"/>
          <w:kern w:val="0"/>
          <w:sz w:val="28"/>
          <w:szCs w:val="28"/>
          <w:u w:val="none"/>
          <w:lang w:val="en-US" w:eastAsia="zh-CN"/>
        </w:rPr>
        <w:t>2</w:t>
      </w:r>
      <w:r>
        <w:rPr>
          <w:rFonts w:hint="eastAsia" w:ascii="华文仿宋" w:hAnsi="华文仿宋" w:eastAsia="宋体" w:cs="宋体"/>
          <w:color w:val="000000"/>
          <w:kern w:val="0"/>
          <w:sz w:val="28"/>
          <w:szCs w:val="28"/>
          <w:u w:val="none"/>
          <w:lang w:val="en-US" w:eastAsia="zh-CN"/>
        </w:rPr>
        <w:t>0</w:t>
      </w:r>
      <w:r>
        <w:rPr>
          <w:rFonts w:hint="eastAsia" w:ascii="华文仿宋" w:hAnsi="华文仿宋" w:eastAsia="宋体" w:cs="宋体"/>
          <w:color w:val="000000"/>
          <w:kern w:val="0"/>
          <w:sz w:val="28"/>
          <w:szCs w:val="28"/>
          <w:u w:val="none"/>
        </w:rPr>
        <w:t>万元以上</w:t>
      </w:r>
      <w:r>
        <w:rPr>
          <w:rFonts w:hint="eastAsia" w:ascii="华文仿宋" w:hAnsi="华文仿宋" w:eastAsia="宋体" w:cs="宋体"/>
          <w:color w:val="000000"/>
          <w:kern w:val="0"/>
          <w:sz w:val="28"/>
          <w:szCs w:val="28"/>
          <w:u w:val="none"/>
          <w:lang w:eastAsia="zh-CN"/>
        </w:rPr>
        <w:t>项目</w:t>
      </w:r>
      <w:r>
        <w:rPr>
          <w:rFonts w:hint="eastAsia" w:ascii="宋体" w:hAnsi="宋体" w:eastAsia="宋体" w:cs="宋体"/>
          <w:color w:val="auto"/>
          <w:sz w:val="28"/>
          <w:szCs w:val="28"/>
          <w:lang w:val="en-US" w:eastAsia="zh-CN"/>
        </w:rPr>
        <w:t>销售业绩</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须提供</w:t>
      </w:r>
      <w:r>
        <w:rPr>
          <w:rFonts w:hint="eastAsia" w:ascii="宋体" w:hAnsi="宋体" w:cs="宋体"/>
          <w:color w:val="auto"/>
          <w:sz w:val="28"/>
          <w:szCs w:val="28"/>
          <w:lang w:val="en-US" w:eastAsia="zh-CN"/>
        </w:rPr>
        <w:t>中标通知书或</w:t>
      </w:r>
      <w:r>
        <w:rPr>
          <w:rFonts w:hint="eastAsia" w:ascii="宋体" w:hAnsi="宋体" w:eastAsia="宋体" w:cs="宋体"/>
          <w:color w:val="auto"/>
          <w:sz w:val="28"/>
          <w:szCs w:val="28"/>
          <w:lang w:val="en-US" w:eastAsia="zh-CN"/>
        </w:rPr>
        <w:t>合同协议书复印件（加盖公章），以上业绩</w:t>
      </w:r>
      <w:r>
        <w:rPr>
          <w:rFonts w:hint="eastAsia" w:ascii="宋体" w:hAnsi="宋体" w:cs="宋体"/>
          <w:color w:val="auto"/>
          <w:sz w:val="28"/>
          <w:szCs w:val="28"/>
          <w:lang w:val="en-US" w:eastAsia="zh-CN"/>
        </w:rPr>
        <w:t>（不接受关联公司业绩）</w:t>
      </w:r>
      <w:r>
        <w:rPr>
          <w:rFonts w:hint="eastAsia" w:ascii="宋体" w:hAnsi="宋体" w:eastAsia="宋体" w:cs="宋体"/>
          <w:color w:val="auto"/>
          <w:sz w:val="28"/>
          <w:szCs w:val="28"/>
          <w:lang w:val="en-US" w:eastAsia="zh-CN"/>
        </w:rPr>
        <w:t>以</w:t>
      </w:r>
      <w:r>
        <w:rPr>
          <w:rFonts w:hint="eastAsia" w:ascii="宋体" w:hAnsi="宋体" w:cs="宋体"/>
          <w:color w:val="auto"/>
          <w:sz w:val="28"/>
          <w:szCs w:val="28"/>
          <w:lang w:val="en-US" w:eastAsia="zh-CN"/>
        </w:rPr>
        <w:t>中标通知书签收时间或</w:t>
      </w:r>
      <w:r>
        <w:rPr>
          <w:rFonts w:hint="eastAsia" w:ascii="宋体" w:hAnsi="宋体" w:eastAsia="宋体" w:cs="宋体"/>
          <w:color w:val="auto"/>
          <w:sz w:val="28"/>
          <w:szCs w:val="28"/>
          <w:lang w:val="en-US" w:eastAsia="zh-CN"/>
        </w:rPr>
        <w:t>合同签订时间为准；</w:t>
      </w:r>
    </w:p>
    <w:p>
      <w:pPr>
        <w:spacing w:line="460" w:lineRule="exact"/>
        <w:ind w:firstLine="560" w:firstLineChars="200"/>
        <w:rPr>
          <w:rFonts w:hint="eastAsia" w:ascii="宋体" w:hAnsi="宋体" w:eastAsia="宋体" w:cs="宋体"/>
          <w:color w:val="auto"/>
          <w:sz w:val="28"/>
          <w:szCs w:val="28"/>
          <w:u w:val="none" w:color="000000"/>
          <w:lang w:val="en-US" w:eastAsia="zh-CN" w:bidi="ar-SA"/>
        </w:rPr>
      </w:pPr>
      <w:r>
        <w:rPr>
          <w:rFonts w:hint="eastAsia" w:ascii="宋体" w:hAnsi="宋体" w:eastAsia="宋体" w:cs="宋体"/>
          <w:color w:val="auto"/>
          <w:sz w:val="28"/>
          <w:szCs w:val="28"/>
          <w:u w:val="none" w:color="000000"/>
          <w:lang w:val="en-US" w:eastAsia="zh-CN" w:bidi="ar-SA"/>
        </w:rPr>
        <w:t>1.1</w:t>
      </w:r>
      <w:r>
        <w:rPr>
          <w:rFonts w:hint="eastAsia" w:ascii="宋体" w:hAnsi="宋体" w:cs="宋体"/>
          <w:color w:val="auto"/>
          <w:sz w:val="28"/>
          <w:szCs w:val="28"/>
          <w:u w:val="none" w:color="000000"/>
          <w:lang w:val="en-US" w:eastAsia="zh-CN" w:bidi="ar-SA"/>
        </w:rPr>
        <w:t>0</w:t>
      </w:r>
      <w:r>
        <w:rPr>
          <w:rFonts w:hint="eastAsia" w:ascii="宋体" w:hAnsi="宋体" w:eastAsia="宋体" w:cs="宋体"/>
          <w:color w:val="auto"/>
          <w:sz w:val="28"/>
          <w:szCs w:val="28"/>
          <w:u w:val="none" w:color="000000"/>
          <w:lang w:val="en-US" w:eastAsia="zh-CN" w:bidi="ar-SA"/>
        </w:rPr>
        <w:t>贵公司技术人员所拥有本次招标项目所需技术证书的复印件、身份证复印件以及在投标单位2021年</w:t>
      </w:r>
      <w:r>
        <w:rPr>
          <w:rFonts w:hint="eastAsia" w:ascii="宋体" w:hAnsi="宋体" w:cs="宋体"/>
          <w:color w:val="auto"/>
          <w:sz w:val="28"/>
          <w:szCs w:val="28"/>
          <w:u w:val="none" w:color="000000"/>
          <w:lang w:val="en-US" w:eastAsia="zh-CN" w:bidi="ar-SA"/>
        </w:rPr>
        <w:t>6</w:t>
      </w:r>
      <w:r>
        <w:rPr>
          <w:rFonts w:hint="eastAsia" w:ascii="宋体" w:hAnsi="宋体" w:eastAsia="宋体" w:cs="宋体"/>
          <w:color w:val="auto"/>
          <w:sz w:val="28"/>
          <w:szCs w:val="28"/>
          <w:u w:val="none" w:color="000000"/>
          <w:lang w:val="en-US" w:eastAsia="zh-CN" w:bidi="ar-SA"/>
        </w:rPr>
        <w:t>月-2021年1</w:t>
      </w:r>
      <w:r>
        <w:rPr>
          <w:rFonts w:hint="eastAsia" w:ascii="宋体" w:hAnsi="宋体" w:cs="宋体"/>
          <w:color w:val="auto"/>
          <w:sz w:val="28"/>
          <w:szCs w:val="28"/>
          <w:u w:val="none" w:color="000000"/>
          <w:lang w:val="en-US" w:eastAsia="zh-CN" w:bidi="ar-SA"/>
        </w:rPr>
        <w:t>2</w:t>
      </w:r>
      <w:r>
        <w:rPr>
          <w:rFonts w:hint="eastAsia" w:ascii="宋体" w:hAnsi="宋体" w:eastAsia="宋体" w:cs="宋体"/>
          <w:color w:val="auto"/>
          <w:sz w:val="28"/>
          <w:szCs w:val="28"/>
          <w:u w:val="none" w:color="000000"/>
          <w:lang w:val="en-US" w:eastAsia="zh-CN" w:bidi="ar-SA"/>
        </w:rPr>
        <w:t>月间连续6个月缴纳社保证明复印件并加盖公章；</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u w:val="none" w:color="000000"/>
          <w:lang w:val="en-US" w:eastAsia="zh-CN" w:bidi="ar-SA"/>
        </w:rPr>
        <w:t>1.1</w:t>
      </w:r>
      <w:r>
        <w:rPr>
          <w:rFonts w:hint="eastAsia" w:ascii="宋体" w:hAnsi="宋体" w:cs="宋体"/>
          <w:color w:val="auto"/>
          <w:sz w:val="28"/>
          <w:szCs w:val="28"/>
          <w:u w:val="none" w:color="000000"/>
          <w:lang w:val="en-US" w:eastAsia="zh-CN" w:bidi="ar-SA"/>
        </w:rPr>
        <w:t>1</w:t>
      </w:r>
      <w:r>
        <w:rPr>
          <w:rFonts w:hint="eastAsia" w:ascii="宋体" w:hAnsi="宋体" w:eastAsia="宋体" w:cs="宋体"/>
          <w:color w:val="auto"/>
          <w:sz w:val="28"/>
          <w:szCs w:val="28"/>
          <w:u w:val="none" w:color="000000"/>
          <w:lang w:val="en-US" w:eastAsia="zh-CN" w:bidi="ar-SA"/>
        </w:rPr>
        <w:t>营业执照、组织机构代码证、税</w:t>
      </w:r>
      <w:r>
        <w:rPr>
          <w:rFonts w:hint="eastAsia" w:ascii="宋体" w:hAnsi="宋体" w:eastAsia="宋体" w:cs="宋体"/>
          <w:color w:val="auto"/>
          <w:sz w:val="28"/>
          <w:szCs w:val="28"/>
          <w:lang w:val="en-US" w:eastAsia="zh-CN"/>
        </w:rPr>
        <w:t>务登记证或三证合一证件复印件加盖公</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章；</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投标人认为需要表述的与本次招标有关的其它内容。</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.投标文件的份数和签署</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投标文件的正本和副本均需打印或使用不褪色的蓝、黑墨水笔书写，字迹应清晰易于辩认，并应在投标文件封面的右上角清楚地注明“正本”或“副本”。正本和副本如不符，以正本为准。</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投标文件中的授权书、投标函及投标一览表等应当在格式文本要求的相应位置签字和盖章。</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全套投标文件应无修改和行间插字。如有修改，须在修改处加盖投标单位法定代表人或其委托代理人的印鉴。</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投标文件的装订、密封和标记</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.1投标文件的装订</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投标文件应按A4纸大小进行装订，对于较大图、表，可采用A3纸，但需要按A4纸大小进行折叠、装订。投标文件的正本与副本应分别装订成册,具体装订要求见投标人须知前附表规定。</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.2投标文件的密封和标记</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投标文件应进行包装、加贴封条，并在封套的封口处加盖投标单位公章。</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.投标文件的提交</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.1 投标人应在投标人须知前附表规定的投标截止时间前递交投标文件。</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.2 投标人递交投标文件的地点：见投标人须知前附表。</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.3 除投标人须知前附表另有规定外，投标人所递交的投标文件不予退还。</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 xml:space="preserve"> 逾期送达的或者未送达指定地点的投标文件，招标人不予受理。</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投标文件的补充、修改与撤回</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.1投标人在提交投标文件以后，在规定的投标截止时间之前，可以书面形式补充、修改或撤回已提交的投标文件，并以书面形式通知招标人。补充、修改的内容为投标文件的组成。</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.2投标人对投标文件的补充、修改，应按本须知第17条、第18条和第19条有关规定密封、标记和提交，并在投标文件密封袋上清楚标明“补充”、“修改”字样。</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.3在投标截止时间之后，投标人不得补充、修改投标文件。</w:t>
      </w:r>
    </w:p>
    <w:p>
      <w:pPr>
        <w:spacing w:line="460" w:lineRule="exact"/>
        <w:jc w:val="center"/>
        <w:rPr>
          <w:rFonts w:hint="eastAsia" w:ascii="宋体" w:hAnsi="宋体" w:eastAsia="宋体" w:cs="宋体"/>
          <w:b/>
          <w:bCs/>
          <w:color w:val="auto"/>
          <w:sz w:val="32"/>
          <w:szCs w:val="32"/>
        </w:rPr>
      </w:pPr>
    </w:p>
    <w:p>
      <w:pPr>
        <w:numPr>
          <w:ilvl w:val="0"/>
          <w:numId w:val="0"/>
        </w:numPr>
        <w:spacing w:line="460" w:lineRule="exact"/>
        <w:ind w:left="630" w:leftChars="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w:t>
      </w:r>
      <w:r>
        <w:rPr>
          <w:rFonts w:hint="eastAsia" w:ascii="宋体" w:hAnsi="宋体" w:cs="宋体"/>
          <w:b/>
          <w:bCs/>
          <w:color w:val="auto"/>
          <w:sz w:val="32"/>
          <w:szCs w:val="32"/>
          <w:lang w:eastAsia="zh-CN"/>
        </w:rPr>
        <w:t>三</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开标、评标和定标</w:t>
      </w:r>
    </w:p>
    <w:p>
      <w:pPr>
        <w:numPr>
          <w:ilvl w:val="0"/>
          <w:numId w:val="0"/>
        </w:numPr>
        <w:spacing w:line="460" w:lineRule="exact"/>
        <w:ind w:left="630" w:leftChars="0"/>
        <w:jc w:val="both"/>
        <w:rPr>
          <w:rFonts w:hint="eastAsia" w:ascii="宋体" w:hAnsi="宋体" w:eastAsia="宋体" w:cs="宋体"/>
          <w:b/>
          <w:bCs/>
          <w:color w:val="auto"/>
          <w:sz w:val="32"/>
          <w:szCs w:val="32"/>
        </w:rPr>
      </w:pP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1.开标</w:t>
      </w:r>
    </w:p>
    <w:p>
      <w:pPr>
        <w:spacing w:line="460" w:lineRule="exact"/>
        <w:ind w:firstLine="560" w:firstLineChars="200"/>
        <w:rPr>
          <w:rFonts w:hint="eastAsia" w:ascii="宋体" w:hAnsi="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1.1招标人按规定的时间和地点公开开标</w:t>
      </w:r>
      <w:r>
        <w:rPr>
          <w:rFonts w:hint="eastAsia" w:ascii="宋体" w:hAnsi="宋体" w:cs="宋体"/>
          <w:b w:val="0"/>
          <w:bCs w:val="0"/>
          <w:color w:val="auto"/>
          <w:sz w:val="28"/>
          <w:szCs w:val="28"/>
          <w:lang w:val="en-US" w:eastAsia="zh-CN"/>
        </w:rPr>
        <w:t>。</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1.2投标单位参加开标的法定代表人或授权代理人，必须在规定的投标文件递交截止时间</w:t>
      </w:r>
      <w:r>
        <w:rPr>
          <w:rFonts w:hint="eastAsia" w:ascii="宋体" w:hAnsi="宋体" w:cs="宋体"/>
          <w:b w:val="0"/>
          <w:bCs w:val="0"/>
          <w:color w:val="auto"/>
          <w:sz w:val="28"/>
          <w:szCs w:val="28"/>
          <w:lang w:val="en-US" w:eastAsia="zh-CN"/>
        </w:rPr>
        <w:t>现场提交</w:t>
      </w:r>
      <w:r>
        <w:rPr>
          <w:rFonts w:hint="eastAsia" w:ascii="宋体" w:hAnsi="宋体" w:eastAsia="宋体" w:cs="宋体"/>
          <w:b w:val="0"/>
          <w:bCs w:val="0"/>
          <w:color w:val="auto"/>
          <w:sz w:val="28"/>
          <w:szCs w:val="28"/>
          <w:lang w:val="en-US" w:eastAsia="zh-CN"/>
        </w:rPr>
        <w:t>投标文件。</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1.3投标企业提供的以上材料须真实可靠，如有弄虚作假，一经发现查实，将不予退还投标保证金，取消投（中）标资格，并在发布招标文件的网站上公示。</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1.4开标由招标方项目负责人主持，并按规定的程序进行：</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1.5下列情况之一者招标方拒收投标文件：</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（1）投标文件未按招标文件要求密封；</w:t>
      </w:r>
    </w:p>
    <w:p>
      <w:pPr>
        <w:spacing w:line="460" w:lineRule="exact"/>
        <w:ind w:firstLine="560" w:firstLineChars="200"/>
        <w:rPr>
          <w:rFonts w:hint="eastAsia" w:ascii="宋体" w:hAnsi="宋体" w:eastAsia="宋体" w:cs="宋体"/>
          <w:kern w:val="2"/>
          <w:sz w:val="28"/>
          <w:szCs w:val="28"/>
          <w:u w:val="none"/>
          <w:lang w:val="en-US" w:eastAsia="zh-CN" w:bidi="ar-SA"/>
        </w:rPr>
      </w:pPr>
      <w:r>
        <w:rPr>
          <w:rFonts w:hint="eastAsia" w:ascii="宋体" w:hAnsi="宋体" w:eastAsia="宋体" w:cs="宋体"/>
          <w:b w:val="0"/>
          <w:bCs w:val="0"/>
          <w:color w:val="auto"/>
          <w:sz w:val="28"/>
          <w:szCs w:val="28"/>
          <w:lang w:val="en-US" w:eastAsia="zh-CN"/>
        </w:rPr>
        <w:t>（2）投标文件送交时间已超过招标文件规定的投标截止时间；</w:t>
      </w: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2.评标</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2.1评标工作由招标单位依法组建的评标委员会负责，评标委员会成员随机选取，评委会推举一名组长。招标人招标管理人员和纪律检查人员全程监督。评标委员会对招标文件理解出现偏差或遗漏时，招标管理人员提醒和督促纠正，纪律检查人员负责评标工作秩序的维持。</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2.2评标委员会首先对投标人进行资格符合性审查，审查合格的投标人进入商务评分阶段，评委会依法对各投标文件进行评审</w:t>
      </w:r>
      <w:r>
        <w:rPr>
          <w:rFonts w:hint="eastAsia" w:ascii="宋体" w:hAnsi="宋体" w:cs="宋体"/>
          <w:b w:val="0"/>
          <w:bCs w:val="0"/>
          <w:color w:val="auto"/>
          <w:sz w:val="28"/>
          <w:szCs w:val="28"/>
          <w:lang w:val="en-US" w:eastAsia="zh-CN"/>
        </w:rPr>
        <w:t>。</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2.3投标人不得企图向评委及招标方代表施加任何影响，否则将会导致投标作废。</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2.4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2.5评标委员会将拒绝被确定为非实质性响应的投标，投标人不能通过修正或撤销不符之处而使其投标成为实质性响应的投标。</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2.6评标采用保密方式进行。</w:t>
      </w: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3.定标</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3.1评标委员会根据评标标准综合评出各投标人的具体得分名次，推荐前2名为中标候选人招标人报请院领导集体确定，从评标委员会推荐的中标候选人中确定预中标人，进行不少于3个工作日的公示。</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3.2总得分相同的，按投标价格由低到高顺序排列；总得分相同且投标价格相同的，按技术部分得分由高到低顺序排列。</w:t>
      </w:r>
    </w:p>
    <w:p>
      <w:pPr>
        <w:widowControl w:val="0"/>
        <w:numPr>
          <w:ilvl w:val="0"/>
          <w:numId w:val="0"/>
        </w:numPr>
        <w:snapToGrid w:val="0"/>
        <w:spacing w:line="360" w:lineRule="auto"/>
        <w:ind w:leftChars="-695"/>
        <w:jc w:val="left"/>
        <w:textAlignment w:val="auto"/>
        <w:rPr>
          <w:rFonts w:hint="eastAsia" w:ascii="华文仿宋" w:hAnsi="华文仿宋" w:cs="宋体"/>
          <w:b/>
          <w:bCs/>
          <w:color w:val="000000" w:themeColor="text1"/>
          <w:kern w:val="2"/>
          <w:sz w:val="28"/>
          <w:szCs w:val="28"/>
          <w:u w:val="none"/>
          <w:lang w:val="en-US" w:eastAsia="zh-CN"/>
          <w14:textFill>
            <w14:solidFill>
              <w14:schemeClr w14:val="tx1"/>
            </w14:solidFill>
          </w14:textFill>
        </w:rPr>
      </w:pPr>
    </w:p>
    <w:p>
      <w:pPr>
        <w:widowControl w:val="0"/>
        <w:numPr>
          <w:ilvl w:val="0"/>
          <w:numId w:val="0"/>
        </w:numPr>
        <w:snapToGrid w:val="0"/>
        <w:spacing w:line="360" w:lineRule="auto"/>
        <w:ind w:leftChars="-695"/>
        <w:jc w:val="left"/>
        <w:textAlignment w:val="auto"/>
        <w:rPr>
          <w:rFonts w:hint="default" w:ascii="华文仿宋" w:hAnsi="华文仿宋" w:cs="宋体"/>
          <w:b/>
          <w:bCs/>
          <w:color w:val="000000" w:themeColor="text1"/>
          <w:kern w:val="2"/>
          <w:sz w:val="28"/>
          <w:szCs w:val="28"/>
          <w:u w:val="none"/>
          <w:lang w:val="en-US" w:eastAsia="zh-CN"/>
          <w14:textFill>
            <w14:solidFill>
              <w14:schemeClr w14:val="tx1"/>
            </w14:solidFill>
          </w14:textFill>
        </w:rPr>
      </w:pPr>
    </w:p>
    <w:p>
      <w:pPr>
        <w:pStyle w:val="8"/>
        <w:keepNext w:val="0"/>
        <w:keepLines w:val="0"/>
        <w:pageBreakBefore w:val="0"/>
        <w:kinsoku/>
        <w:wordWrap/>
        <w:overflowPunct/>
        <w:topLinePunct w:val="0"/>
        <w:autoSpaceDE/>
        <w:autoSpaceDN/>
        <w:bidi w:val="0"/>
        <w:spacing w:line="460" w:lineRule="exact"/>
        <w:ind w:firstLine="0" w:firstLineChars="0"/>
        <w:jc w:val="left"/>
        <w:textAlignment w:val="baseline"/>
        <w:rPr>
          <w:rFonts w:hint="eastAsia" w:ascii="宋体" w:hAnsi="宋体"/>
          <w:color w:val="C00000"/>
          <w:kern w:val="10"/>
          <w:szCs w:val="24"/>
          <w:u w:val="none" w:color="000000"/>
        </w:rPr>
      </w:pPr>
    </w:p>
    <w:p>
      <w:pPr>
        <w:keepNext w:val="0"/>
        <w:keepLines w:val="0"/>
        <w:pageBreakBefore w:val="0"/>
        <w:widowControl/>
        <w:kinsoku/>
        <w:wordWrap/>
        <w:overflowPunct/>
        <w:topLinePunct w:val="0"/>
        <w:autoSpaceDE/>
        <w:autoSpaceDN/>
        <w:bidi w:val="0"/>
        <w:spacing w:line="460" w:lineRule="exact"/>
        <w:ind w:left="0" w:leftChars="0" w:firstLine="0" w:firstLineChars="0"/>
        <w:jc w:val="center"/>
        <w:textAlignment w:val="baseline"/>
        <w:rPr>
          <w:rFonts w:hint="eastAsia" w:ascii="宋体" w:hAnsi="宋体" w:eastAsia="宋体" w:cs="宋体"/>
          <w:b/>
          <w:bCs/>
          <w:color w:val="auto"/>
          <w:sz w:val="32"/>
          <w:szCs w:val="32"/>
        </w:rPr>
      </w:pPr>
      <w:r>
        <w:rPr>
          <w:rFonts w:hint="eastAsia" w:ascii="宋体" w:hAnsi="宋体" w:eastAsia="宋体" w:cs="宋体"/>
          <w:b/>
          <w:bCs/>
          <w:color w:val="auto"/>
          <w:sz w:val="32"/>
          <w:szCs w:val="32"/>
        </w:rPr>
        <w:t>（</w:t>
      </w:r>
      <w:r>
        <w:rPr>
          <w:rFonts w:hint="eastAsia" w:ascii="宋体" w:hAnsi="宋体" w:cs="宋体"/>
          <w:b/>
          <w:bCs/>
          <w:color w:val="auto"/>
          <w:sz w:val="32"/>
          <w:szCs w:val="32"/>
          <w:lang w:eastAsia="zh-CN"/>
        </w:rPr>
        <w:t>四</w:t>
      </w:r>
      <w:r>
        <w:rPr>
          <w:rFonts w:hint="eastAsia" w:ascii="宋体" w:hAnsi="宋体" w:eastAsia="宋体" w:cs="宋体"/>
          <w:b/>
          <w:bCs/>
          <w:color w:val="auto"/>
          <w:sz w:val="32"/>
          <w:szCs w:val="32"/>
        </w:rPr>
        <w:t>）合同的授予</w:t>
      </w:r>
    </w:p>
    <w:p>
      <w:pPr>
        <w:keepNext w:val="0"/>
        <w:keepLines w:val="0"/>
        <w:pageBreakBefore w:val="0"/>
        <w:widowControl/>
        <w:kinsoku/>
        <w:wordWrap/>
        <w:overflowPunct/>
        <w:topLinePunct w:val="0"/>
        <w:autoSpaceDE/>
        <w:autoSpaceDN/>
        <w:bidi w:val="0"/>
        <w:spacing w:line="460" w:lineRule="exact"/>
        <w:ind w:left="0" w:leftChars="0" w:firstLine="0" w:firstLineChars="0"/>
        <w:jc w:val="left"/>
        <w:textAlignment w:val="baseline"/>
        <w:rPr>
          <w:rFonts w:hint="eastAsia" w:ascii="宋体" w:hAnsi="宋体" w:eastAsia="宋体" w:cs="宋体"/>
          <w:color w:val="auto"/>
          <w:sz w:val="28"/>
          <w:szCs w:val="28"/>
        </w:rPr>
      </w:pP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1.合同授予标准</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本招标项目的合同将授予按招标办法确定的中标人。</w:t>
      </w: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2.合同协议书的签订</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2.1招标人与中标人将于成交通知书发出之日起10日内，按照招标文件和中标人的投标文件订立书面采购合同。招标人和中标人不得再行订立背离合同实质性内容的其他协议。</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2.2招标人如不按本招标规定与中标人订立合同，或者招标人、中标人订立背离合同实质性内容的协议，招标人应当按投标保证金的数额对投标人进行赔偿，给投标人造成的损失超过投标保证金数额的，还应当对超过予以赔偿，同时依法承担相应法律责任。</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2.3中标人如不按本招标规定与招标人订立合同，则招标人将废除授标，投标担保金不予退还，给招标人造成的损失超过投标担保数额的，还应当对超过予以赔偿，同时依法承担相应法律责任。</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 xml:space="preserve">2.4中标人应当按照合同约定履行义务，完成中标项目，不得将中标项目转让（转包）给他人。 </w:t>
      </w:r>
      <w:r>
        <w:rPr>
          <w:rFonts w:hint="eastAsia" w:ascii="宋体" w:hAnsi="宋体" w:eastAsia="宋体" w:cs="宋体"/>
          <w:color w:val="auto"/>
          <w:sz w:val="28"/>
          <w:szCs w:val="28"/>
        </w:rPr>
        <w:t xml:space="preserve"> </w:t>
      </w:r>
    </w:p>
    <w:p>
      <w:pPr>
        <w:keepNext w:val="0"/>
        <w:keepLines w:val="0"/>
        <w:pageBreakBefore w:val="0"/>
        <w:widowControl/>
        <w:numPr>
          <w:ilvl w:val="0"/>
          <w:numId w:val="0"/>
        </w:numPr>
        <w:kinsoku/>
        <w:wordWrap/>
        <w:overflowPunct/>
        <w:topLinePunct w:val="0"/>
        <w:autoSpaceDE/>
        <w:autoSpaceDN/>
        <w:bidi w:val="0"/>
        <w:spacing w:line="460" w:lineRule="exact"/>
        <w:jc w:val="center"/>
        <w:textAlignment w:val="baseline"/>
        <w:rPr>
          <w:rFonts w:hint="eastAsia" w:ascii="宋体" w:hAnsi="宋体" w:eastAsia="宋体" w:cs="宋体"/>
          <w:b/>
          <w:bCs/>
          <w:color w:val="auto"/>
          <w:sz w:val="32"/>
          <w:szCs w:val="32"/>
          <w:lang w:eastAsia="zh-CN"/>
        </w:rPr>
      </w:pPr>
    </w:p>
    <w:p>
      <w:pPr>
        <w:keepNext w:val="0"/>
        <w:keepLines w:val="0"/>
        <w:pageBreakBefore w:val="0"/>
        <w:widowControl/>
        <w:numPr>
          <w:ilvl w:val="0"/>
          <w:numId w:val="0"/>
        </w:numPr>
        <w:kinsoku/>
        <w:wordWrap/>
        <w:overflowPunct/>
        <w:topLinePunct w:val="0"/>
        <w:autoSpaceDE/>
        <w:autoSpaceDN/>
        <w:bidi w:val="0"/>
        <w:spacing w:line="460" w:lineRule="exact"/>
        <w:jc w:val="center"/>
        <w:textAlignment w:val="baseline"/>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w:t>
      </w:r>
      <w:r>
        <w:rPr>
          <w:rFonts w:hint="eastAsia" w:ascii="宋体" w:hAnsi="宋体" w:cs="宋体"/>
          <w:b/>
          <w:bCs/>
          <w:color w:val="auto"/>
          <w:sz w:val="32"/>
          <w:szCs w:val="32"/>
          <w:lang w:eastAsia="zh-CN"/>
        </w:rPr>
        <w:t>五</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纪律和监督</w:t>
      </w:r>
    </w:p>
    <w:p>
      <w:pPr>
        <w:keepNext w:val="0"/>
        <w:keepLines w:val="0"/>
        <w:pageBreakBefore w:val="0"/>
        <w:widowControl/>
        <w:numPr>
          <w:ilvl w:val="0"/>
          <w:numId w:val="0"/>
        </w:numPr>
        <w:kinsoku/>
        <w:wordWrap/>
        <w:overflowPunct/>
        <w:topLinePunct w:val="0"/>
        <w:autoSpaceDE/>
        <w:autoSpaceDN/>
        <w:bidi w:val="0"/>
        <w:spacing w:line="460" w:lineRule="exact"/>
        <w:jc w:val="both"/>
        <w:textAlignment w:val="baseline"/>
        <w:rPr>
          <w:rFonts w:hint="eastAsia" w:ascii="宋体" w:hAnsi="宋体" w:eastAsia="宋体" w:cs="宋体"/>
          <w:b/>
          <w:bCs/>
          <w:color w:val="auto"/>
          <w:sz w:val="32"/>
          <w:szCs w:val="32"/>
        </w:rPr>
      </w:pPr>
    </w:p>
    <w:p>
      <w:pPr>
        <w:keepNext w:val="0"/>
        <w:keepLines w:val="0"/>
        <w:pageBreakBefore w:val="0"/>
        <w:widowControl/>
        <w:kinsoku/>
        <w:wordWrap/>
        <w:overflowPunct/>
        <w:topLinePunct w:val="0"/>
        <w:autoSpaceDE/>
        <w:autoSpaceDN/>
        <w:bidi w:val="0"/>
        <w:spacing w:line="460" w:lineRule="exact"/>
        <w:ind w:left="0" w:leftChars="0" w:firstLine="562" w:firstLineChars="200"/>
        <w:jc w:val="left"/>
        <w:textAlignment w:val="baseline"/>
        <w:rPr>
          <w:rFonts w:hint="eastAsia" w:ascii="宋体" w:hAnsi="宋体" w:eastAsia="宋体" w:cs="宋体"/>
          <w:b/>
          <w:color w:val="auto"/>
          <w:sz w:val="28"/>
          <w:szCs w:val="28"/>
        </w:rPr>
      </w:pPr>
      <w:r>
        <w:rPr>
          <w:rFonts w:hint="eastAsia" w:ascii="宋体" w:hAnsi="宋体" w:cs="宋体"/>
          <w:b/>
          <w:color w:val="auto"/>
          <w:sz w:val="28"/>
          <w:szCs w:val="28"/>
          <w:lang w:val="en-US" w:eastAsia="zh-CN"/>
        </w:rPr>
        <w:t>1</w:t>
      </w:r>
      <w:r>
        <w:rPr>
          <w:rFonts w:hint="eastAsia" w:ascii="宋体" w:hAnsi="宋体" w:eastAsia="宋体" w:cs="宋体"/>
          <w:b/>
          <w:color w:val="auto"/>
          <w:sz w:val="28"/>
          <w:szCs w:val="28"/>
        </w:rPr>
        <w:t xml:space="preserve">.对招标人的纪律要求 </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eastAsia="宋体" w:cs="宋体"/>
          <w:color w:val="auto"/>
          <w:kern w:val="10"/>
          <w:sz w:val="28"/>
          <w:szCs w:val="28"/>
        </w:rPr>
        <w:t xml:space="preserve">招标人不得泄漏招标投标活动中应当保密的情况和资料，不得与投标人串通损害国家利益，社会公共利益或者他人合法权益。 </w:t>
      </w:r>
    </w:p>
    <w:p>
      <w:pPr>
        <w:keepNext w:val="0"/>
        <w:keepLines w:val="0"/>
        <w:pageBreakBefore w:val="0"/>
        <w:widowControl/>
        <w:kinsoku/>
        <w:wordWrap/>
        <w:overflowPunct/>
        <w:topLinePunct w:val="0"/>
        <w:autoSpaceDE/>
        <w:autoSpaceDN/>
        <w:bidi w:val="0"/>
        <w:spacing w:line="460" w:lineRule="exact"/>
        <w:ind w:left="0" w:leftChars="0" w:firstLine="562" w:firstLineChars="200"/>
        <w:jc w:val="left"/>
        <w:textAlignment w:val="baseline"/>
        <w:rPr>
          <w:rFonts w:hint="eastAsia" w:ascii="宋体" w:hAnsi="宋体" w:eastAsia="宋体" w:cs="宋体"/>
          <w:b/>
          <w:color w:val="auto"/>
          <w:sz w:val="28"/>
          <w:szCs w:val="28"/>
        </w:rPr>
      </w:pPr>
      <w:r>
        <w:rPr>
          <w:rFonts w:hint="eastAsia" w:ascii="宋体" w:hAnsi="宋体" w:cs="宋体"/>
          <w:b/>
          <w:color w:val="auto"/>
          <w:sz w:val="28"/>
          <w:szCs w:val="28"/>
          <w:lang w:val="en-US" w:eastAsia="zh-CN"/>
        </w:rPr>
        <w:t>2</w:t>
      </w:r>
      <w:r>
        <w:rPr>
          <w:rFonts w:hint="eastAsia" w:ascii="宋体" w:hAnsi="宋体" w:eastAsia="宋体" w:cs="宋体"/>
          <w:b/>
          <w:color w:val="auto"/>
          <w:sz w:val="28"/>
          <w:szCs w:val="28"/>
        </w:rPr>
        <w:t xml:space="preserve">.对投标人的纪律要求 </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eastAsia="宋体" w:cs="宋体"/>
          <w:color w:val="auto"/>
          <w:kern w:val="10"/>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kinsoku/>
        <w:wordWrap/>
        <w:overflowPunct/>
        <w:topLinePunct w:val="0"/>
        <w:autoSpaceDE/>
        <w:autoSpaceDN/>
        <w:bidi w:val="0"/>
        <w:spacing w:line="460" w:lineRule="exact"/>
        <w:ind w:left="0" w:leftChars="0" w:firstLine="562" w:firstLineChars="200"/>
        <w:jc w:val="left"/>
        <w:textAlignment w:val="baseline"/>
        <w:rPr>
          <w:rFonts w:hint="eastAsia" w:ascii="宋体" w:hAnsi="宋体" w:eastAsia="宋体" w:cs="宋体"/>
          <w:b/>
          <w:color w:val="auto"/>
          <w:sz w:val="28"/>
          <w:szCs w:val="28"/>
        </w:rPr>
      </w:pPr>
      <w:r>
        <w:rPr>
          <w:rFonts w:hint="eastAsia" w:ascii="宋体" w:hAnsi="宋体" w:cs="宋体"/>
          <w:b/>
          <w:color w:val="auto"/>
          <w:sz w:val="28"/>
          <w:szCs w:val="28"/>
          <w:lang w:val="en-US" w:eastAsia="zh-CN"/>
        </w:rPr>
        <w:t>3</w:t>
      </w:r>
      <w:r>
        <w:rPr>
          <w:rFonts w:hint="eastAsia" w:ascii="宋体" w:hAnsi="宋体" w:eastAsia="宋体" w:cs="宋体"/>
          <w:b/>
          <w:color w:val="auto"/>
          <w:sz w:val="28"/>
          <w:szCs w:val="28"/>
        </w:rPr>
        <w:t xml:space="preserve">.对评标委员会成员的纪律要求 </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cs="宋体"/>
          <w:color w:val="auto"/>
          <w:kern w:val="10"/>
          <w:sz w:val="28"/>
          <w:szCs w:val="28"/>
          <w:lang w:val="en-US" w:eastAsia="zh-CN"/>
        </w:rPr>
        <w:t>3</w:t>
      </w:r>
      <w:r>
        <w:rPr>
          <w:rFonts w:hint="eastAsia" w:ascii="宋体" w:hAnsi="宋体" w:eastAsia="宋体" w:cs="宋体"/>
          <w:color w:val="auto"/>
          <w:kern w:val="10"/>
          <w:sz w:val="28"/>
          <w:szCs w:val="28"/>
        </w:rPr>
        <w:t>.1标委员会成员不得收受他人的财物或者其他好处，不得向他人透漏对投标文件的评审和比较、中标候选人的推荐情况以及评标有关的其他情况。</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cs="宋体"/>
          <w:color w:val="auto"/>
          <w:kern w:val="10"/>
          <w:sz w:val="28"/>
          <w:szCs w:val="28"/>
          <w:lang w:val="en-US" w:eastAsia="zh-CN"/>
        </w:rPr>
        <w:t>3</w:t>
      </w:r>
      <w:r>
        <w:rPr>
          <w:rFonts w:hint="eastAsia" w:ascii="宋体" w:hAnsi="宋体" w:eastAsia="宋体" w:cs="宋体"/>
          <w:color w:val="auto"/>
          <w:kern w:val="10"/>
          <w:sz w:val="28"/>
          <w:szCs w:val="28"/>
        </w:rPr>
        <w:t xml:space="preserve">.2在评标活动中，评标委员会成员不得擅离职守，影响评标程序正常进行，不得使用评标办法没有规定的评审因素和标准进行评标。 </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cs="宋体"/>
          <w:color w:val="auto"/>
          <w:kern w:val="10"/>
          <w:sz w:val="28"/>
          <w:szCs w:val="28"/>
          <w:lang w:val="en-US" w:eastAsia="zh-CN"/>
        </w:rPr>
        <w:t>3</w:t>
      </w:r>
      <w:r>
        <w:rPr>
          <w:rFonts w:hint="eastAsia" w:ascii="宋体" w:hAnsi="宋体" w:eastAsia="宋体" w:cs="宋体"/>
          <w:color w:val="auto"/>
          <w:kern w:val="10"/>
          <w:sz w:val="28"/>
          <w:szCs w:val="28"/>
        </w:rPr>
        <w:t>.3在评标活动中，评标委员会成员的通讯工具由招标监督人统一收取保管，待评标结束后予以统一归还。</w:t>
      </w:r>
    </w:p>
    <w:p>
      <w:pPr>
        <w:keepNext w:val="0"/>
        <w:keepLines w:val="0"/>
        <w:pageBreakBefore w:val="0"/>
        <w:widowControl/>
        <w:kinsoku/>
        <w:wordWrap/>
        <w:overflowPunct/>
        <w:topLinePunct w:val="0"/>
        <w:autoSpaceDE/>
        <w:autoSpaceDN/>
        <w:bidi w:val="0"/>
        <w:spacing w:line="460" w:lineRule="exact"/>
        <w:ind w:left="0" w:leftChars="0" w:firstLine="562" w:firstLineChars="200"/>
        <w:jc w:val="left"/>
        <w:textAlignment w:val="baseline"/>
        <w:rPr>
          <w:rFonts w:hint="eastAsia" w:ascii="宋体" w:hAnsi="宋体" w:eastAsia="宋体" w:cs="宋体"/>
          <w:b/>
          <w:color w:val="auto"/>
          <w:sz w:val="28"/>
          <w:szCs w:val="28"/>
        </w:rPr>
      </w:pPr>
      <w:r>
        <w:rPr>
          <w:rFonts w:hint="eastAsia" w:ascii="宋体" w:hAnsi="宋体" w:cs="宋体"/>
          <w:b/>
          <w:color w:val="auto"/>
          <w:sz w:val="28"/>
          <w:szCs w:val="28"/>
          <w:lang w:val="en-US" w:eastAsia="zh-CN"/>
        </w:rPr>
        <w:t>4</w:t>
      </w:r>
      <w:r>
        <w:rPr>
          <w:rFonts w:hint="eastAsia" w:ascii="宋体" w:hAnsi="宋体" w:eastAsia="宋体" w:cs="宋体"/>
          <w:b/>
          <w:color w:val="auto"/>
          <w:sz w:val="28"/>
          <w:szCs w:val="28"/>
        </w:rPr>
        <w:t xml:space="preserve">.对与评标活动有关的工作人员的纪律要求 </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eastAsia="宋体" w:cs="宋体"/>
          <w:color w:val="auto"/>
          <w:kern w:val="10"/>
          <w:sz w:val="28"/>
          <w:szCs w:val="28"/>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idowControl w:val="0"/>
        <w:spacing w:line="360" w:lineRule="auto"/>
        <w:ind w:firstLine="1968" w:firstLineChars="700"/>
        <w:textAlignment w:val="auto"/>
        <w:outlineLvl w:val="0"/>
        <w:rPr>
          <w:rFonts w:hint="eastAsia" w:ascii="宋体" w:hAnsi="宋体"/>
          <w:b/>
          <w:color w:val="auto"/>
          <w:sz w:val="28"/>
          <w:szCs w:val="28"/>
        </w:rPr>
      </w:pPr>
      <w:bookmarkStart w:id="7" w:name="_Toc208906016"/>
      <w:bookmarkStart w:id="8" w:name="_Toc208905859"/>
      <w:bookmarkStart w:id="9" w:name="_Toc206908062"/>
      <w:bookmarkStart w:id="10" w:name="_Toc208905556"/>
      <w:bookmarkStart w:id="11" w:name="_Toc192585800"/>
      <w:bookmarkStart w:id="12" w:name="_Toc209328433"/>
      <w:bookmarkStart w:id="13" w:name="_Toc419280536"/>
    </w:p>
    <w:bookmarkEnd w:id="7"/>
    <w:bookmarkEnd w:id="8"/>
    <w:bookmarkEnd w:id="9"/>
    <w:bookmarkEnd w:id="10"/>
    <w:bookmarkEnd w:id="11"/>
    <w:bookmarkEnd w:id="12"/>
    <w:bookmarkEnd w:id="13"/>
    <w:p>
      <w:pPr>
        <w:spacing w:before="240" w:beforeLines="100" w:after="240" w:afterLines="100" w:line="490" w:lineRule="exact"/>
        <w:jc w:val="center"/>
        <w:rPr>
          <w:rFonts w:hint="eastAsia" w:ascii="宋体" w:hAnsi="宋体" w:eastAsia="宋体" w:cs="Times New Roman"/>
          <w:b/>
          <w:sz w:val="36"/>
          <w:szCs w:val="36"/>
          <w:lang w:eastAsia="zh-CN"/>
        </w:rPr>
      </w:pPr>
      <w:r>
        <w:rPr>
          <w:rFonts w:hint="eastAsia" w:ascii="宋体" w:hAnsi="宋体" w:eastAsia="宋体" w:cs="Times New Roman"/>
          <w:b/>
          <w:sz w:val="36"/>
          <w:szCs w:val="36"/>
          <w:lang w:eastAsia="zh-CN"/>
        </w:rPr>
        <w:t xml:space="preserve"> 三、合同主要条款</w:t>
      </w:r>
    </w:p>
    <w:p>
      <w:pPr>
        <w:pStyle w:val="19"/>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一、</w:t>
      </w:r>
      <w:r>
        <w:rPr>
          <w:rFonts w:hint="eastAsia" w:ascii="华文仿宋" w:hAnsi="华文仿宋" w:cs="宋体"/>
          <w:color w:val="000000"/>
          <w:sz w:val="28"/>
          <w:szCs w:val="28"/>
          <w:lang w:eastAsia="zh-CN"/>
        </w:rPr>
        <w:t>软件</w:t>
      </w:r>
      <w:r>
        <w:rPr>
          <w:rFonts w:hint="eastAsia" w:ascii="华文仿宋" w:hAnsi="华文仿宋" w:cs="宋体"/>
          <w:color w:val="000000"/>
          <w:sz w:val="28"/>
          <w:szCs w:val="28"/>
        </w:rPr>
        <w:t>价格：</w:t>
      </w:r>
    </w:p>
    <w:p>
      <w:pPr>
        <w:pStyle w:val="19"/>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（一）</w:t>
      </w:r>
      <w:r>
        <w:rPr>
          <w:rFonts w:hint="eastAsia" w:ascii="华文仿宋" w:hAnsi="华文仿宋" w:cs="宋体"/>
          <w:color w:val="000000"/>
          <w:sz w:val="28"/>
          <w:szCs w:val="28"/>
          <w:lang w:eastAsia="zh-CN"/>
        </w:rPr>
        <w:t>软件</w:t>
      </w:r>
      <w:r>
        <w:rPr>
          <w:rFonts w:hint="eastAsia" w:ascii="华文仿宋" w:hAnsi="华文仿宋" w:cs="宋体"/>
          <w:color w:val="000000"/>
          <w:sz w:val="28"/>
          <w:szCs w:val="28"/>
        </w:rPr>
        <w:t>价格执行乙方投标价格。</w:t>
      </w:r>
    </w:p>
    <w:p>
      <w:pPr>
        <w:pStyle w:val="19"/>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（二）价格包括</w:t>
      </w:r>
    </w:p>
    <w:p>
      <w:pPr>
        <w:pStyle w:val="19"/>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1、</w:t>
      </w:r>
      <w:r>
        <w:rPr>
          <w:rFonts w:hint="eastAsia" w:ascii="华文仿宋" w:hAnsi="华文仿宋" w:cs="宋体"/>
          <w:color w:val="000000"/>
          <w:sz w:val="28"/>
          <w:szCs w:val="28"/>
          <w:lang w:eastAsia="zh-CN"/>
        </w:rPr>
        <w:t>软件</w:t>
      </w:r>
      <w:r>
        <w:rPr>
          <w:rFonts w:hint="eastAsia" w:ascii="华文仿宋" w:hAnsi="华文仿宋" w:cs="宋体"/>
          <w:color w:val="000000"/>
          <w:sz w:val="28"/>
          <w:szCs w:val="28"/>
        </w:rPr>
        <w:t>安装、调试、验收等所有投入和收益。</w:t>
      </w:r>
    </w:p>
    <w:p>
      <w:pPr>
        <w:pStyle w:val="19"/>
        <w:numPr>
          <w:ilvl w:val="0"/>
          <w:numId w:val="0"/>
        </w:numPr>
        <w:snapToGrid w:val="0"/>
        <w:spacing w:line="360" w:lineRule="auto"/>
        <w:jc w:val="left"/>
        <w:rPr>
          <w:rFonts w:hint="eastAsia" w:ascii="宋体" w:hAnsi="宋体" w:cs="宋体"/>
          <w:b w:val="0"/>
          <w:bCs/>
          <w:sz w:val="28"/>
          <w:szCs w:val="28"/>
          <w:lang w:eastAsia="zh-CN"/>
        </w:rPr>
      </w:pPr>
      <w:r>
        <w:rPr>
          <w:rFonts w:hint="eastAsia" w:ascii="宋体" w:hAnsi="宋体" w:cs="宋体"/>
          <w:b w:val="0"/>
          <w:bCs/>
          <w:sz w:val="28"/>
          <w:szCs w:val="28"/>
          <w:lang w:eastAsia="zh-CN"/>
        </w:rPr>
        <w:t>2、质保期内维护费用。</w:t>
      </w:r>
    </w:p>
    <w:p>
      <w:pPr>
        <w:pStyle w:val="19"/>
        <w:numPr>
          <w:ilvl w:val="0"/>
          <w:numId w:val="0"/>
        </w:numPr>
        <w:snapToGrid w:val="0"/>
        <w:spacing w:line="360" w:lineRule="auto"/>
        <w:jc w:val="left"/>
        <w:rPr>
          <w:rFonts w:hint="eastAsia" w:ascii="华文仿宋" w:hAnsi="华文仿宋" w:cs="宋体"/>
          <w:color w:val="0000FF"/>
          <w:sz w:val="28"/>
          <w:szCs w:val="28"/>
        </w:rPr>
      </w:pPr>
      <w:r>
        <w:rPr>
          <w:rFonts w:hint="eastAsia" w:ascii="宋体" w:hAnsi="宋体" w:cs="宋体"/>
          <w:b w:val="0"/>
          <w:bCs/>
          <w:sz w:val="28"/>
          <w:szCs w:val="28"/>
          <w:lang w:val="en-US" w:eastAsia="zh-CN"/>
        </w:rPr>
        <w:t>3、</w:t>
      </w:r>
      <w:r>
        <w:rPr>
          <w:rFonts w:hint="eastAsia" w:ascii="宋体" w:hAnsi="宋体" w:cs="宋体"/>
          <w:b w:val="0"/>
          <w:bCs/>
          <w:sz w:val="28"/>
          <w:szCs w:val="28"/>
          <w:lang w:eastAsia="zh-CN"/>
        </w:rPr>
        <w:t>接口（HIS和体检软件）费用。</w:t>
      </w:r>
    </w:p>
    <w:p>
      <w:pPr>
        <w:pStyle w:val="19"/>
        <w:numPr>
          <w:ilvl w:val="0"/>
          <w:numId w:val="0"/>
        </w:numPr>
        <w:snapToGrid w:val="0"/>
        <w:spacing w:line="360" w:lineRule="auto"/>
        <w:jc w:val="left"/>
        <w:rPr>
          <w:rFonts w:ascii="华文仿宋" w:hAnsi="华文仿宋" w:cs="宋体"/>
          <w:color w:val="000000"/>
          <w:sz w:val="28"/>
          <w:szCs w:val="28"/>
        </w:rPr>
      </w:pPr>
      <w:r>
        <w:rPr>
          <w:rFonts w:hint="eastAsia" w:ascii="华文仿宋" w:hAnsi="华文仿宋" w:cs="宋体"/>
          <w:color w:val="000000"/>
          <w:sz w:val="28"/>
          <w:szCs w:val="28"/>
        </w:rPr>
        <w:t>3、税费</w:t>
      </w:r>
      <w:r>
        <w:rPr>
          <w:rFonts w:hint="eastAsia" w:ascii="华文仿宋" w:hAnsi="华文仿宋" w:cs="宋体"/>
          <w:color w:val="000000"/>
          <w:sz w:val="28"/>
          <w:szCs w:val="28"/>
          <w:lang w:eastAsia="zh-CN"/>
        </w:rPr>
        <w:t>及满足服务要求的相关</w:t>
      </w:r>
      <w:r>
        <w:rPr>
          <w:rFonts w:hint="eastAsia" w:ascii="华文仿宋" w:hAnsi="华文仿宋" w:cs="宋体"/>
          <w:color w:val="000000"/>
          <w:sz w:val="28"/>
          <w:szCs w:val="28"/>
        </w:rPr>
        <w:t>费用。</w:t>
      </w:r>
    </w:p>
    <w:p>
      <w:pPr>
        <w:pStyle w:val="19"/>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二、软件的安装、调试</w:t>
      </w:r>
      <w:r>
        <w:rPr>
          <w:rFonts w:hint="eastAsia" w:ascii="华文仿宋" w:hAnsi="华文仿宋" w:cs="宋体"/>
          <w:color w:val="000000"/>
          <w:sz w:val="28"/>
          <w:szCs w:val="28"/>
          <w:lang w:eastAsia="zh-CN"/>
        </w:rPr>
        <w:t>、</w:t>
      </w:r>
      <w:r>
        <w:rPr>
          <w:rFonts w:hint="eastAsia" w:ascii="华文仿宋" w:hAnsi="华文仿宋" w:cs="宋体"/>
          <w:color w:val="000000"/>
          <w:sz w:val="28"/>
          <w:szCs w:val="28"/>
        </w:rPr>
        <w:t>验收</w:t>
      </w:r>
      <w:r>
        <w:rPr>
          <w:rFonts w:hint="eastAsia" w:ascii="华文仿宋" w:hAnsi="华文仿宋" w:cs="宋体"/>
          <w:color w:val="000000"/>
          <w:sz w:val="28"/>
          <w:szCs w:val="28"/>
          <w:lang w:eastAsia="zh-CN"/>
        </w:rPr>
        <w:t>及</w:t>
      </w:r>
      <w:r>
        <w:rPr>
          <w:rFonts w:hint="eastAsia" w:ascii="华文仿宋" w:hAnsi="华文仿宋" w:cs="宋体"/>
          <w:color w:val="000000"/>
          <w:sz w:val="28"/>
          <w:szCs w:val="28"/>
        </w:rPr>
        <w:t>风险承担</w:t>
      </w:r>
    </w:p>
    <w:p>
      <w:pPr>
        <w:pStyle w:val="19"/>
        <w:snapToGrid w:val="0"/>
        <w:spacing w:line="360" w:lineRule="auto"/>
        <w:ind w:left="0" w:leftChars="0" w:firstLine="0" w:firstLineChars="0"/>
        <w:jc w:val="left"/>
        <w:rPr>
          <w:rFonts w:hint="eastAsia" w:ascii="华文仿宋" w:hAnsi="华文仿宋" w:cs="宋体"/>
          <w:color w:val="000000"/>
          <w:sz w:val="28"/>
          <w:szCs w:val="28"/>
        </w:rPr>
      </w:pPr>
      <w:r>
        <w:rPr>
          <w:rFonts w:hint="eastAsia" w:ascii="华文仿宋" w:hAnsi="华文仿宋" w:cs="宋体"/>
          <w:color w:val="000000"/>
          <w:sz w:val="28"/>
          <w:szCs w:val="28"/>
        </w:rPr>
        <w:t>（一）安装、调试必须由取得安装资质的专业工程师进行。</w:t>
      </w:r>
    </w:p>
    <w:p>
      <w:pPr>
        <w:pStyle w:val="19"/>
        <w:snapToGrid w:val="0"/>
        <w:spacing w:line="360" w:lineRule="auto"/>
        <w:ind w:left="0" w:leftChars="0" w:firstLine="0" w:firstLineChars="0"/>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sz w:val="28"/>
          <w:szCs w:val="28"/>
        </w:rPr>
        <w:t>（二）乙方应在合同签订后5天日内派技术人员到达现场，在甲方技术人员、采购主办部门、财务人员在场的情况下对</w:t>
      </w:r>
      <w:r>
        <w:rPr>
          <w:rFonts w:hint="eastAsia" w:ascii="华文仿宋" w:hAnsi="华文仿宋" w:cs="宋体"/>
          <w:color w:val="000000" w:themeColor="text1"/>
          <w:sz w:val="28"/>
          <w:szCs w:val="28"/>
          <w14:textFill>
            <w14:solidFill>
              <w14:schemeClr w14:val="tx1"/>
            </w14:solidFill>
          </w14:textFill>
        </w:rPr>
        <w:t>采购软件按招投标文件要求的技术参数进行展示。甲方技术人员、采购主办部门、财务人员确认合格的应在验收单据上分别签字确认。</w:t>
      </w:r>
    </w:p>
    <w:p>
      <w:pPr>
        <w:pStyle w:val="19"/>
        <w:snapToGrid w:val="0"/>
        <w:spacing w:line="360" w:lineRule="auto"/>
        <w:ind w:firstLine="0" w:firstLineChars="0"/>
        <w:jc w:val="left"/>
        <w:rPr>
          <w:rFonts w:hint="eastAsia" w:ascii="华文仿宋" w:hAnsi="华文仿宋"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（三）乙方技术人员按要求进行安装调试，</w:t>
      </w:r>
      <w:r>
        <w:rPr>
          <w:rFonts w:hint="eastAsia" w:ascii="华文仿宋" w:hAnsi="华文仿宋" w:cs="宋体"/>
          <w:color w:val="000000" w:themeColor="text1"/>
          <w:sz w:val="28"/>
          <w:szCs w:val="28"/>
          <w:lang w:eastAsia="zh-CN"/>
          <w14:textFill>
            <w14:solidFill>
              <w14:schemeClr w14:val="tx1"/>
            </w14:solidFill>
          </w14:textFill>
        </w:rPr>
        <w:t>使用三日后无相关问题视为验收最终验收合格。</w:t>
      </w:r>
    </w:p>
    <w:p>
      <w:pPr>
        <w:pStyle w:val="19"/>
        <w:snapToGrid w:val="0"/>
        <w:spacing w:line="360" w:lineRule="auto"/>
        <w:ind w:firstLine="0" w:firstLineChars="0"/>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（四）</w:t>
      </w:r>
      <w:r>
        <w:rPr>
          <w:rFonts w:hint="eastAsia" w:ascii="华文仿宋" w:hAnsi="华文仿宋" w:cs="宋体"/>
          <w:color w:val="000000" w:themeColor="text1"/>
          <w:sz w:val="28"/>
          <w:szCs w:val="28"/>
          <w14:textFill>
            <w14:solidFill>
              <w14:schemeClr w14:val="tx1"/>
            </w14:solidFill>
          </w14:textFill>
        </w:rPr>
        <w:t>安装调试工作须有甲方技术人员在场的情况下进行。</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baseline"/>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（五）软件安装调试</w:t>
      </w:r>
      <w:r>
        <w:rPr>
          <w:rFonts w:hint="eastAsia" w:ascii="华文仿宋" w:hAnsi="华文仿宋" w:cs="宋体"/>
          <w:color w:val="000000" w:themeColor="text1"/>
          <w:sz w:val="28"/>
          <w:szCs w:val="28"/>
          <w14:textFill>
            <w14:solidFill>
              <w14:schemeClr w14:val="tx1"/>
            </w14:solidFill>
          </w14:textFill>
        </w:rPr>
        <w:t>验收</w:t>
      </w:r>
      <w:r>
        <w:rPr>
          <w:rFonts w:hint="eastAsia" w:ascii="华文仿宋" w:hAnsi="华文仿宋" w:cs="宋体"/>
          <w:color w:val="000000" w:themeColor="text1"/>
          <w:sz w:val="28"/>
          <w:szCs w:val="28"/>
          <w:lang w:eastAsia="zh-CN"/>
          <w14:textFill>
            <w14:solidFill>
              <w14:schemeClr w14:val="tx1"/>
            </w14:solidFill>
          </w14:textFill>
        </w:rPr>
        <w:t>合格</w:t>
      </w:r>
      <w:r>
        <w:rPr>
          <w:rFonts w:hint="eastAsia" w:ascii="华文仿宋" w:hAnsi="华文仿宋" w:cs="宋体"/>
          <w:color w:val="000000" w:themeColor="text1"/>
          <w:sz w:val="28"/>
          <w:szCs w:val="28"/>
          <w14:textFill>
            <w14:solidFill>
              <w14:schemeClr w14:val="tx1"/>
            </w14:solidFill>
          </w14:textFill>
        </w:rPr>
        <w:t>前所有风险由乙方承担。</w:t>
      </w:r>
    </w:p>
    <w:p>
      <w:pPr>
        <w:pStyle w:val="19"/>
        <w:snapToGrid w:val="0"/>
        <w:spacing w:line="360" w:lineRule="auto"/>
        <w:ind w:firstLine="0" w:firstLineChars="0"/>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三、</w:t>
      </w:r>
      <w:r>
        <w:rPr>
          <w:rFonts w:hint="eastAsia" w:ascii="华文仿宋" w:hAnsi="华文仿宋" w:cs="宋体"/>
          <w:color w:val="000000" w:themeColor="text1"/>
          <w:sz w:val="28"/>
          <w:szCs w:val="28"/>
          <w14:textFill>
            <w14:solidFill>
              <w14:schemeClr w14:val="tx1"/>
            </w14:solidFill>
          </w14:textFill>
        </w:rPr>
        <w:t>技术资料</w:t>
      </w:r>
    </w:p>
    <w:p>
      <w:pPr>
        <w:pStyle w:val="19"/>
        <w:snapToGrid w:val="0"/>
        <w:spacing w:line="360" w:lineRule="auto"/>
        <w:ind w:firstLine="0" w:firstLineChars="0"/>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w:t>
      </w:r>
      <w:r>
        <w:rPr>
          <w:rFonts w:hint="eastAsia" w:ascii="华文仿宋" w:hAnsi="华文仿宋" w:cs="宋体"/>
          <w:color w:val="000000" w:themeColor="text1"/>
          <w:sz w:val="28"/>
          <w:szCs w:val="28"/>
          <w:lang w:eastAsia="zh-CN"/>
          <w14:textFill>
            <w14:solidFill>
              <w14:schemeClr w14:val="tx1"/>
            </w14:solidFill>
          </w14:textFill>
        </w:rPr>
        <w:t>验收后，</w:t>
      </w:r>
      <w:r>
        <w:rPr>
          <w:rFonts w:hint="eastAsia" w:ascii="华文仿宋" w:hAnsi="华文仿宋" w:cs="宋体"/>
          <w:color w:val="000000" w:themeColor="text1"/>
          <w:sz w:val="28"/>
          <w:szCs w:val="28"/>
          <w14:textFill>
            <w14:solidFill>
              <w14:schemeClr w14:val="tx1"/>
            </w14:solidFill>
          </w14:textFill>
        </w:rPr>
        <w:t>投</w:t>
      </w:r>
      <w:r>
        <w:rPr>
          <w:rFonts w:hint="eastAsia" w:ascii="华文仿宋" w:hAnsi="华文仿宋" w:cs="宋体"/>
          <w:color w:val="000000" w:themeColor="text1"/>
          <w:sz w:val="28"/>
          <w:szCs w:val="28"/>
          <w:lang w:eastAsia="zh-CN"/>
          <w14:textFill>
            <w14:solidFill>
              <w14:schemeClr w14:val="tx1"/>
            </w14:solidFill>
          </w14:textFill>
        </w:rPr>
        <w:t>乙方</w:t>
      </w:r>
      <w:r>
        <w:rPr>
          <w:rFonts w:hint="eastAsia" w:ascii="华文仿宋" w:hAnsi="华文仿宋" w:cs="宋体"/>
          <w:color w:val="000000" w:themeColor="text1"/>
          <w:sz w:val="28"/>
          <w:szCs w:val="28"/>
          <w14:textFill>
            <w14:solidFill>
              <w14:schemeClr w14:val="tx1"/>
            </w14:solidFill>
          </w14:textFill>
        </w:rPr>
        <w:t>须向</w:t>
      </w:r>
      <w:r>
        <w:rPr>
          <w:rFonts w:hint="eastAsia" w:ascii="华文仿宋" w:hAnsi="华文仿宋" w:cs="宋体"/>
          <w:color w:val="000000" w:themeColor="text1"/>
          <w:sz w:val="28"/>
          <w:szCs w:val="28"/>
          <w:lang w:eastAsia="zh-CN"/>
          <w14:textFill>
            <w14:solidFill>
              <w14:schemeClr w14:val="tx1"/>
            </w14:solidFill>
          </w14:textFill>
        </w:rPr>
        <w:t>甲方</w:t>
      </w:r>
      <w:r>
        <w:rPr>
          <w:rFonts w:hint="eastAsia" w:ascii="华文仿宋" w:hAnsi="华文仿宋" w:cs="宋体"/>
          <w:color w:val="000000" w:themeColor="text1"/>
          <w:sz w:val="28"/>
          <w:szCs w:val="28"/>
          <w14:textFill>
            <w14:solidFill>
              <w14:schemeClr w14:val="tx1"/>
            </w14:solidFill>
          </w14:textFill>
        </w:rPr>
        <w:t>提供操作手册一套。</w:t>
      </w:r>
    </w:p>
    <w:p>
      <w:pPr>
        <w:pStyle w:val="19"/>
        <w:snapToGrid w:val="0"/>
        <w:spacing w:line="360" w:lineRule="auto"/>
        <w:ind w:firstLine="0" w:firstLineChars="0"/>
        <w:jc w:val="left"/>
        <w:rPr>
          <w:rFonts w:hint="eastAsia" w:ascii="华文仿宋" w:hAnsi="华文仿宋" w:eastAsia="宋体"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w:t>
      </w:r>
      <w:r>
        <w:rPr>
          <w:rFonts w:hint="eastAsia" w:ascii="华文仿宋" w:hAnsi="华文仿宋" w:cs="宋体"/>
          <w:color w:val="000000" w:themeColor="text1"/>
          <w:sz w:val="28"/>
          <w:szCs w:val="28"/>
          <w:lang w:eastAsia="zh-CN"/>
          <w14:textFill>
            <w14:solidFill>
              <w14:schemeClr w14:val="tx1"/>
            </w14:solidFill>
          </w14:textFill>
        </w:rPr>
        <w:t>乙方</w:t>
      </w:r>
      <w:r>
        <w:rPr>
          <w:rFonts w:hint="eastAsia" w:ascii="华文仿宋" w:hAnsi="华文仿宋" w:cs="宋体"/>
          <w:color w:val="000000" w:themeColor="text1"/>
          <w:sz w:val="28"/>
          <w:szCs w:val="28"/>
          <w14:textFill>
            <w14:solidFill>
              <w14:schemeClr w14:val="tx1"/>
            </w14:solidFill>
          </w14:textFill>
        </w:rPr>
        <w:t>须向</w:t>
      </w:r>
      <w:r>
        <w:rPr>
          <w:rFonts w:hint="eastAsia" w:ascii="华文仿宋" w:hAnsi="华文仿宋" w:cs="宋体"/>
          <w:color w:val="000000" w:themeColor="text1"/>
          <w:sz w:val="28"/>
          <w:szCs w:val="28"/>
          <w:lang w:eastAsia="zh-CN"/>
          <w14:textFill>
            <w14:solidFill>
              <w14:schemeClr w14:val="tx1"/>
            </w14:solidFill>
          </w14:textFill>
        </w:rPr>
        <w:t>甲方</w:t>
      </w:r>
      <w:r>
        <w:rPr>
          <w:rFonts w:hint="eastAsia" w:ascii="华文仿宋" w:hAnsi="华文仿宋" w:cs="宋体"/>
          <w:color w:val="000000" w:themeColor="text1"/>
          <w:sz w:val="28"/>
          <w:szCs w:val="28"/>
          <w14:textFill>
            <w14:solidFill>
              <w14:schemeClr w14:val="tx1"/>
            </w14:solidFill>
          </w14:textFill>
        </w:rPr>
        <w:t>提供软件的运行、安装、使用环境</w:t>
      </w:r>
      <w:r>
        <w:rPr>
          <w:rFonts w:hint="eastAsia" w:ascii="华文仿宋" w:hAnsi="华文仿宋" w:cs="宋体"/>
          <w:color w:val="000000" w:themeColor="text1"/>
          <w:sz w:val="28"/>
          <w:szCs w:val="28"/>
          <w:lang w:eastAsia="zh-CN"/>
          <w14:textFill>
            <w14:solidFill>
              <w14:schemeClr w14:val="tx1"/>
            </w14:solidFill>
          </w14:textFill>
        </w:rPr>
        <w:t>说明。</w:t>
      </w:r>
    </w:p>
    <w:p>
      <w:pPr>
        <w:pStyle w:val="19"/>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四</w:t>
      </w: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软件</w:t>
      </w:r>
      <w:r>
        <w:rPr>
          <w:rFonts w:hint="eastAsia" w:ascii="华文仿宋" w:hAnsi="华文仿宋" w:cs="宋体"/>
          <w:color w:val="000000" w:themeColor="text1"/>
          <w:sz w:val="28"/>
          <w:szCs w:val="28"/>
          <w14:textFill>
            <w14:solidFill>
              <w14:schemeClr w14:val="tx1"/>
            </w14:solidFill>
          </w14:textFill>
        </w:rPr>
        <w:t>款的支付</w:t>
      </w:r>
    </w:p>
    <w:p>
      <w:pPr>
        <w:pStyle w:val="19"/>
        <w:snapToGrid w:val="0"/>
        <w:spacing w:line="360" w:lineRule="auto"/>
        <w:ind w:firstLine="0" w:firstLineChars="0"/>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（一）合同签订后预付合同价款的</w:t>
      </w:r>
      <w:r>
        <w:rPr>
          <w:rFonts w:hint="eastAsia" w:ascii="华文仿宋" w:hAnsi="华文仿宋" w:cs="宋体"/>
          <w:color w:val="000000" w:themeColor="text1"/>
          <w:sz w:val="28"/>
          <w:szCs w:val="28"/>
          <w:lang w:val="en-US" w:eastAsia="zh-CN"/>
          <w14:textFill>
            <w14:solidFill>
              <w14:schemeClr w14:val="tx1"/>
            </w14:solidFill>
          </w14:textFill>
        </w:rPr>
        <w:t>35%</w:t>
      </w:r>
      <w:r>
        <w:rPr>
          <w:rFonts w:hint="eastAsia" w:ascii="华文仿宋" w:hAnsi="华文仿宋" w:cs="宋体"/>
          <w:color w:val="000000" w:themeColor="text1"/>
          <w:sz w:val="28"/>
          <w:szCs w:val="28"/>
          <w14:textFill>
            <w14:solidFill>
              <w14:schemeClr w14:val="tx1"/>
            </w14:solidFill>
          </w14:textFill>
        </w:rPr>
        <w:t>。</w:t>
      </w:r>
    </w:p>
    <w:p>
      <w:pPr>
        <w:pStyle w:val="19"/>
        <w:snapToGrid w:val="0"/>
        <w:spacing w:line="360" w:lineRule="auto"/>
        <w:ind w:firstLine="0" w:firstLineChars="0"/>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（二）软件验收合格后付</w:t>
      </w:r>
      <w:r>
        <w:rPr>
          <w:rFonts w:hint="eastAsia" w:ascii="华文仿宋" w:hAnsi="华文仿宋" w:cs="宋体"/>
          <w:color w:val="000000" w:themeColor="text1"/>
          <w:sz w:val="28"/>
          <w:szCs w:val="28"/>
          <w:lang w:eastAsia="zh-CN"/>
          <w14:textFill>
            <w14:solidFill>
              <w14:schemeClr w14:val="tx1"/>
            </w14:solidFill>
          </w14:textFill>
        </w:rPr>
        <w:t>至</w:t>
      </w:r>
      <w:r>
        <w:rPr>
          <w:rFonts w:hint="eastAsia" w:ascii="华文仿宋" w:hAnsi="华文仿宋" w:cs="宋体"/>
          <w:color w:val="000000" w:themeColor="text1"/>
          <w:sz w:val="28"/>
          <w:szCs w:val="28"/>
          <w14:textFill>
            <w14:solidFill>
              <w14:schemeClr w14:val="tx1"/>
            </w14:solidFill>
          </w14:textFill>
        </w:rPr>
        <w:t>合同价款的</w:t>
      </w:r>
      <w:r>
        <w:rPr>
          <w:rFonts w:hint="eastAsia" w:ascii="华文仿宋" w:hAnsi="华文仿宋" w:cs="宋体"/>
          <w:color w:val="000000" w:themeColor="text1"/>
          <w:sz w:val="28"/>
          <w:szCs w:val="28"/>
          <w:lang w:val="en-US" w:eastAsia="zh-CN"/>
          <w14:textFill>
            <w14:solidFill>
              <w14:schemeClr w14:val="tx1"/>
            </w14:solidFill>
          </w14:textFill>
        </w:rPr>
        <w:t>95%</w:t>
      </w:r>
      <w:r>
        <w:rPr>
          <w:rFonts w:hint="eastAsia" w:ascii="华文仿宋" w:hAnsi="华文仿宋" w:cs="宋体"/>
          <w:color w:val="000000" w:themeColor="text1"/>
          <w:sz w:val="28"/>
          <w:szCs w:val="28"/>
          <w:lang w:eastAsia="zh-CN"/>
          <w14:textFill>
            <w14:solidFill>
              <w14:schemeClr w14:val="tx1"/>
            </w14:solidFill>
          </w14:textFill>
        </w:rPr>
        <w:t>，余款作为质量保证金。</w:t>
      </w:r>
    </w:p>
    <w:p>
      <w:pPr>
        <w:pStyle w:val="19"/>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（三）乙方提供增值税发票。</w:t>
      </w:r>
    </w:p>
    <w:p>
      <w:pPr>
        <w:pStyle w:val="19"/>
        <w:snapToGrid w:val="0"/>
        <w:spacing w:line="360" w:lineRule="auto"/>
        <w:ind w:firstLine="0" w:firstLineChars="0"/>
        <w:jc w:val="left"/>
        <w:rPr>
          <w:rFonts w:hint="eastAsia" w:ascii="华文仿宋" w:hAnsi="华文仿宋" w:eastAsia="宋体" w:cs="宋体"/>
          <w:color w:val="000000"/>
          <w:sz w:val="28"/>
          <w:szCs w:val="28"/>
          <w:lang w:eastAsia="zh-CN"/>
        </w:rPr>
      </w:pPr>
      <w:r>
        <w:rPr>
          <w:rFonts w:hint="eastAsia" w:ascii="华文仿宋" w:hAnsi="华文仿宋" w:cs="宋体"/>
          <w:color w:val="000000"/>
          <w:sz w:val="28"/>
          <w:szCs w:val="28"/>
          <w:lang w:eastAsia="zh-CN"/>
        </w:rPr>
        <w:t>五</w:t>
      </w:r>
      <w:r>
        <w:rPr>
          <w:rFonts w:hint="eastAsia" w:ascii="华文仿宋" w:hAnsi="华文仿宋" w:cs="宋体"/>
          <w:color w:val="000000"/>
          <w:sz w:val="28"/>
          <w:szCs w:val="28"/>
        </w:rPr>
        <w:t>、</w:t>
      </w:r>
      <w:r>
        <w:rPr>
          <w:rFonts w:hint="eastAsia" w:ascii="华文仿宋" w:hAnsi="华文仿宋" w:cs="宋体"/>
          <w:color w:val="000000"/>
          <w:sz w:val="28"/>
          <w:szCs w:val="28"/>
          <w:lang w:eastAsia="zh-CN"/>
        </w:rPr>
        <w:t>质量</w:t>
      </w:r>
      <w:r>
        <w:rPr>
          <w:rFonts w:hint="eastAsia" w:ascii="华文仿宋" w:hAnsi="华文仿宋" w:cs="宋体"/>
          <w:color w:val="000000"/>
          <w:sz w:val="28"/>
          <w:szCs w:val="28"/>
        </w:rPr>
        <w:t>保证金的</w:t>
      </w:r>
      <w:r>
        <w:rPr>
          <w:rFonts w:hint="eastAsia" w:ascii="华文仿宋" w:hAnsi="华文仿宋" w:cs="宋体"/>
          <w:color w:val="000000"/>
          <w:sz w:val="28"/>
          <w:szCs w:val="28"/>
          <w:lang w:eastAsia="zh-CN"/>
        </w:rPr>
        <w:t>支付</w:t>
      </w:r>
    </w:p>
    <w:p>
      <w:pPr>
        <w:snapToGrid w:val="0"/>
        <w:spacing w:line="360" w:lineRule="auto"/>
        <w:jc w:val="left"/>
        <w:rPr>
          <w:rFonts w:hint="eastAsia" w:eastAsia="宋体" w:cs="宋体"/>
          <w:sz w:val="28"/>
          <w:szCs w:val="28"/>
          <w:lang w:val="en-US" w:eastAsia="zh-CN"/>
        </w:rPr>
      </w:pPr>
      <w:r>
        <w:rPr>
          <w:rFonts w:hint="eastAsia" w:ascii="华文仿宋" w:hAnsi="华文仿宋" w:cs="宋体"/>
          <w:color w:val="000000"/>
          <w:sz w:val="28"/>
          <w:szCs w:val="28"/>
          <w:lang w:eastAsia="zh-CN"/>
        </w:rPr>
        <w:t>质量</w:t>
      </w:r>
      <w:r>
        <w:rPr>
          <w:rFonts w:hint="eastAsia" w:ascii="华文仿宋" w:hAnsi="华文仿宋" w:cs="宋体"/>
          <w:color w:val="000000"/>
          <w:sz w:val="28"/>
          <w:szCs w:val="28"/>
        </w:rPr>
        <w:t>保证金</w:t>
      </w:r>
      <w:r>
        <w:rPr>
          <w:rFonts w:hint="eastAsia" w:cs="宋体"/>
          <w:sz w:val="28"/>
          <w:szCs w:val="28"/>
        </w:rPr>
        <w:t>在</w:t>
      </w:r>
      <w:r>
        <w:rPr>
          <w:rFonts w:hint="eastAsia" w:cs="宋体"/>
          <w:sz w:val="28"/>
          <w:szCs w:val="28"/>
          <w:lang w:eastAsia="zh-CN"/>
        </w:rPr>
        <w:t>软件</w:t>
      </w:r>
      <w:r>
        <w:rPr>
          <w:rFonts w:hint="eastAsia" w:cs="宋体"/>
          <w:sz w:val="28"/>
          <w:szCs w:val="28"/>
        </w:rPr>
        <w:t>质</w:t>
      </w:r>
      <w:r>
        <w:rPr>
          <w:rFonts w:hint="eastAsia" w:cs="宋体"/>
          <w:sz w:val="28"/>
          <w:szCs w:val="28"/>
          <w:lang w:eastAsia="zh-CN"/>
        </w:rPr>
        <w:t>保</w:t>
      </w:r>
      <w:r>
        <w:rPr>
          <w:rFonts w:hint="eastAsia" w:cs="宋体"/>
          <w:sz w:val="28"/>
          <w:szCs w:val="28"/>
        </w:rPr>
        <w:t>期满后无遗留问题时</w:t>
      </w:r>
      <w:r>
        <w:rPr>
          <w:rFonts w:hint="eastAsia" w:cs="宋体"/>
          <w:sz w:val="28"/>
          <w:szCs w:val="28"/>
          <w:lang w:eastAsia="zh-CN"/>
        </w:rPr>
        <w:t>一个月内</w:t>
      </w:r>
      <w:r>
        <w:rPr>
          <w:rFonts w:hint="eastAsia" w:cs="宋体"/>
          <w:sz w:val="28"/>
          <w:szCs w:val="28"/>
        </w:rPr>
        <w:t>无息退还</w:t>
      </w:r>
      <w:r>
        <w:rPr>
          <w:rFonts w:hint="eastAsia" w:cs="宋体"/>
          <w:sz w:val="28"/>
          <w:szCs w:val="28"/>
          <w:lang w:eastAsia="zh-CN"/>
        </w:rPr>
        <w:t>。</w:t>
      </w:r>
    </w:p>
    <w:p>
      <w:pPr>
        <w:pStyle w:val="19"/>
        <w:snapToGrid w:val="0"/>
        <w:spacing w:line="360" w:lineRule="auto"/>
        <w:ind w:firstLine="0" w:firstLineChars="0"/>
        <w:jc w:val="left"/>
        <w:rPr>
          <w:rFonts w:hint="eastAsia" w:ascii="华文仿宋" w:hAnsi="华文仿宋" w:eastAsia="宋体" w:cs="宋体"/>
          <w:color w:val="000000"/>
          <w:sz w:val="28"/>
          <w:szCs w:val="28"/>
          <w:lang w:eastAsia="zh-CN"/>
        </w:rPr>
      </w:pPr>
      <w:r>
        <w:rPr>
          <w:rFonts w:hint="eastAsia" w:ascii="华文仿宋" w:hAnsi="华文仿宋" w:cs="宋体"/>
          <w:color w:val="000000"/>
          <w:sz w:val="28"/>
          <w:szCs w:val="28"/>
          <w:lang w:eastAsia="zh-CN"/>
        </w:rPr>
        <w:t>六</w:t>
      </w:r>
      <w:r>
        <w:rPr>
          <w:rFonts w:hint="eastAsia" w:ascii="华文仿宋" w:hAnsi="华文仿宋" w:cs="宋体"/>
          <w:color w:val="000000"/>
          <w:sz w:val="28"/>
          <w:szCs w:val="28"/>
        </w:rPr>
        <w:t>、质保期</w:t>
      </w:r>
      <w:r>
        <w:rPr>
          <w:rFonts w:hint="eastAsia" w:ascii="华文仿宋" w:hAnsi="华文仿宋" w:cs="宋体"/>
          <w:color w:val="000000"/>
          <w:sz w:val="28"/>
          <w:szCs w:val="28"/>
          <w:lang w:eastAsia="zh-CN"/>
        </w:rPr>
        <w:t>与售后服务</w:t>
      </w:r>
    </w:p>
    <w:p>
      <w:pPr>
        <w:snapToGrid w:val="0"/>
        <w:spacing w:line="360" w:lineRule="auto"/>
        <w:jc w:val="left"/>
        <w:rPr>
          <w:rFonts w:hint="eastAsia" w:cs="宋体"/>
          <w:color w:val="000000" w:themeColor="text1"/>
          <w:sz w:val="28"/>
          <w:szCs w:val="28"/>
          <w:lang w:eastAsia="zh-CN"/>
          <w14:textFill>
            <w14:solidFill>
              <w14:schemeClr w14:val="tx1"/>
            </w14:solidFill>
          </w14:textFill>
        </w:rPr>
      </w:pPr>
      <w:r>
        <w:rPr>
          <w:rFonts w:hint="eastAsia" w:cs="宋体"/>
          <w:sz w:val="28"/>
          <w:szCs w:val="28"/>
          <w:lang w:eastAsia="zh-CN"/>
        </w:rPr>
        <w:t>（</w:t>
      </w:r>
      <w:r>
        <w:rPr>
          <w:rFonts w:hint="eastAsia" w:cs="宋体"/>
          <w:color w:val="000000" w:themeColor="text1"/>
          <w:sz w:val="28"/>
          <w:szCs w:val="28"/>
          <w:lang w:eastAsia="zh-CN"/>
          <w14:textFill>
            <w14:solidFill>
              <w14:schemeClr w14:val="tx1"/>
            </w14:solidFill>
          </w14:textFill>
        </w:rPr>
        <w:t>一）质保期执行投标人投标承诺，质保期内乙方对软件进行免费维护和故障处理。保修期外维护收取合理的服务费，服务费每年为中标金额的</w:t>
      </w:r>
      <w:r>
        <w:rPr>
          <w:rFonts w:hint="eastAsia" w:cs="宋体"/>
          <w:color w:val="000000" w:themeColor="text1"/>
          <w:sz w:val="28"/>
          <w:szCs w:val="28"/>
          <w:lang w:val="en-US" w:eastAsia="zh-CN"/>
          <w14:textFill>
            <w14:solidFill>
              <w14:schemeClr w14:val="tx1"/>
            </w14:solidFill>
          </w14:textFill>
        </w:rPr>
        <w:t>10%。</w:t>
      </w:r>
      <w:r>
        <w:rPr>
          <w:rFonts w:hint="eastAsia" w:cs="宋体"/>
          <w:color w:val="000000" w:themeColor="text1"/>
          <w:sz w:val="28"/>
          <w:szCs w:val="28"/>
          <w:lang w:eastAsia="zh-CN"/>
          <w14:textFill>
            <w14:solidFill>
              <w14:schemeClr w14:val="tx1"/>
            </w14:solidFill>
          </w14:textFill>
        </w:rPr>
        <w:t>软件每使用二年乙方对软件予以免费监测维护一次。</w:t>
      </w:r>
    </w:p>
    <w:p>
      <w:pPr>
        <w:snapToGrid w:val="0"/>
        <w:spacing w:line="360" w:lineRule="auto"/>
        <w:jc w:val="left"/>
        <w:rPr>
          <w:rFonts w:hint="eastAsia" w:cs="宋体"/>
          <w:color w:val="000000" w:themeColor="text1"/>
          <w:sz w:val="28"/>
          <w:szCs w:val="28"/>
          <w:lang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（二）维修响应时间执行投标人投标承诺。</w:t>
      </w:r>
    </w:p>
    <w:p>
      <w:pPr>
        <w:snapToGrid w:val="0"/>
        <w:spacing w:line="360" w:lineRule="auto"/>
        <w:jc w:val="left"/>
        <w:rPr>
          <w:color w:val="FF0000"/>
        </w:rPr>
      </w:pPr>
      <w:r>
        <w:rPr>
          <w:rFonts w:hint="eastAsia" w:cs="宋体"/>
          <w:color w:val="000000" w:themeColor="text1"/>
          <w:sz w:val="28"/>
          <w:szCs w:val="28"/>
          <w:lang w:eastAsia="zh-CN"/>
          <w14:textFill>
            <w14:solidFill>
              <w14:schemeClr w14:val="tx1"/>
            </w14:solidFill>
          </w14:textFill>
        </w:rPr>
        <w:t>（三）保修期内，乙方免费提供基于合同标准范围内的软件的必要性升级服务。</w:t>
      </w:r>
    </w:p>
    <w:p>
      <w:pPr>
        <w:pStyle w:val="19"/>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lang w:eastAsia="zh-CN"/>
        </w:rPr>
        <w:t>七</w:t>
      </w:r>
      <w:r>
        <w:rPr>
          <w:rFonts w:hint="eastAsia" w:ascii="华文仿宋" w:hAnsi="华文仿宋" w:cs="宋体"/>
          <w:color w:val="000000"/>
          <w:sz w:val="28"/>
          <w:szCs w:val="28"/>
        </w:rPr>
        <w:t>、违约责任</w:t>
      </w:r>
    </w:p>
    <w:p>
      <w:pPr>
        <w:snapToGrid w:val="0"/>
        <w:spacing w:line="360" w:lineRule="auto"/>
        <w:jc w:val="left"/>
        <w:rPr>
          <w:rFonts w:hint="eastAsia" w:ascii="宋体" w:hAnsi="宋体" w:cs="宋体"/>
          <w:sz w:val="28"/>
          <w:szCs w:val="28"/>
        </w:rPr>
      </w:pPr>
      <w:r>
        <w:rPr>
          <w:rFonts w:hint="eastAsia" w:ascii="宋体" w:hAnsi="宋体" w:cs="宋体"/>
          <w:sz w:val="28"/>
          <w:szCs w:val="28"/>
          <w:lang w:eastAsia="zh-CN"/>
        </w:rPr>
        <w:t>（一）乙方</w:t>
      </w:r>
      <w:r>
        <w:rPr>
          <w:rFonts w:hint="eastAsia" w:ascii="宋体" w:hAnsi="宋体" w:cs="宋体"/>
          <w:sz w:val="28"/>
          <w:szCs w:val="28"/>
        </w:rPr>
        <w:t>须按</w:t>
      </w:r>
      <w:r>
        <w:rPr>
          <w:rFonts w:hint="eastAsia" w:ascii="宋体" w:hAnsi="宋体" w:cs="宋体"/>
          <w:sz w:val="28"/>
          <w:szCs w:val="28"/>
          <w:lang w:eastAsia="zh-CN"/>
        </w:rPr>
        <w:t>时派遣专业技术人员安装软件。</w:t>
      </w:r>
      <w:r>
        <w:rPr>
          <w:rFonts w:hint="eastAsia" w:ascii="宋体" w:hAnsi="宋体" w:cs="宋体"/>
          <w:sz w:val="28"/>
          <w:szCs w:val="28"/>
        </w:rPr>
        <w:t>每拖延一天，按</w:t>
      </w:r>
      <w:r>
        <w:rPr>
          <w:rFonts w:hint="eastAsia" w:ascii="宋体" w:hAnsi="宋体" w:cs="宋体"/>
          <w:sz w:val="28"/>
          <w:szCs w:val="28"/>
          <w:lang w:val="en-US" w:eastAsia="zh-CN"/>
        </w:rPr>
        <w:t>500</w:t>
      </w:r>
      <w:r>
        <w:rPr>
          <w:rFonts w:hint="eastAsia" w:ascii="宋体" w:hAnsi="宋体" w:cs="宋体"/>
          <w:sz w:val="28"/>
          <w:szCs w:val="28"/>
        </w:rPr>
        <w:t>元</w:t>
      </w:r>
      <w:r>
        <w:rPr>
          <w:rFonts w:hint="eastAsia" w:ascii="宋体" w:hAnsi="宋体" w:cs="宋体"/>
          <w:sz w:val="28"/>
          <w:szCs w:val="28"/>
          <w:lang w:val="en-US" w:eastAsia="zh-CN"/>
        </w:rPr>
        <w:t>/日</w:t>
      </w:r>
      <w:r>
        <w:rPr>
          <w:rFonts w:hint="eastAsia" w:ascii="宋体" w:hAnsi="宋体" w:cs="宋体"/>
          <w:sz w:val="28"/>
          <w:szCs w:val="28"/>
        </w:rPr>
        <w:t>交纳违约金</w:t>
      </w:r>
      <w:r>
        <w:rPr>
          <w:rFonts w:hint="eastAsia" w:ascii="宋体" w:hAnsi="宋体" w:cs="宋体"/>
          <w:sz w:val="28"/>
          <w:szCs w:val="28"/>
          <w:lang w:eastAsia="zh-CN"/>
        </w:rPr>
        <w:t>，从质量保证金中扣除。</w:t>
      </w:r>
      <w:r>
        <w:rPr>
          <w:rFonts w:hint="eastAsia" w:ascii="宋体" w:hAnsi="宋体" w:cs="宋体"/>
          <w:sz w:val="28"/>
          <w:szCs w:val="28"/>
        </w:rPr>
        <w:t>当违约金达到合同款的</w:t>
      </w:r>
      <w:r>
        <w:rPr>
          <w:rFonts w:hint="eastAsia" w:ascii="宋体" w:hAnsi="宋体" w:cs="宋体"/>
          <w:sz w:val="28"/>
          <w:szCs w:val="28"/>
          <w:lang w:val="en-US" w:eastAsia="zh-CN"/>
        </w:rPr>
        <w:t>5</w:t>
      </w:r>
      <w:r>
        <w:rPr>
          <w:rFonts w:hint="eastAsia" w:ascii="宋体" w:hAnsi="宋体" w:cs="宋体"/>
          <w:sz w:val="28"/>
          <w:szCs w:val="28"/>
        </w:rPr>
        <w:t>％时，</w:t>
      </w:r>
      <w:r>
        <w:rPr>
          <w:rFonts w:hint="eastAsia" w:ascii="宋体" w:hAnsi="宋体" w:cs="宋体"/>
          <w:sz w:val="28"/>
          <w:szCs w:val="28"/>
          <w:lang w:eastAsia="zh-CN"/>
        </w:rPr>
        <w:t>甲</w:t>
      </w:r>
      <w:r>
        <w:rPr>
          <w:rFonts w:hint="eastAsia" w:ascii="宋体" w:hAnsi="宋体" w:cs="宋体"/>
          <w:sz w:val="28"/>
          <w:szCs w:val="28"/>
        </w:rPr>
        <w:t>方有权终止合同，另选供货单位。</w:t>
      </w:r>
    </w:p>
    <w:p>
      <w:pPr>
        <w:pStyle w:val="19"/>
        <w:snapToGrid w:val="0"/>
        <w:spacing w:line="360" w:lineRule="auto"/>
        <w:ind w:firstLine="0" w:firstLineChars="0"/>
        <w:jc w:val="left"/>
        <w:rPr>
          <w:rFonts w:ascii="华文仿宋" w:hAnsi="华文仿宋" w:cs="宋体"/>
          <w:color w:val="000000"/>
          <w:sz w:val="28"/>
          <w:szCs w:val="28"/>
        </w:rPr>
      </w:pPr>
      <w:r>
        <w:rPr>
          <w:rFonts w:hint="eastAsia" w:ascii="宋体" w:hAnsi="宋体" w:cs="宋体"/>
          <w:sz w:val="28"/>
          <w:szCs w:val="28"/>
          <w:lang w:eastAsia="zh-CN"/>
        </w:rPr>
        <w:t>（二）软件在质量保证期内出现运行故障等问题，不符合售后服务承诺的，</w:t>
      </w:r>
      <w:r>
        <w:rPr>
          <w:rFonts w:hint="eastAsia" w:ascii="华文仿宋" w:hAnsi="华文仿宋" w:cs="宋体"/>
          <w:color w:val="000000"/>
          <w:sz w:val="28"/>
          <w:szCs w:val="28"/>
        </w:rPr>
        <w:t>每逾期一次，</w:t>
      </w:r>
      <w:r>
        <w:rPr>
          <w:rFonts w:hint="eastAsia" w:ascii="华文仿宋" w:hAnsi="华文仿宋" w:cs="宋体"/>
          <w:color w:val="000000"/>
          <w:sz w:val="28"/>
          <w:szCs w:val="28"/>
          <w:lang w:eastAsia="zh-CN"/>
        </w:rPr>
        <w:t>质保</w:t>
      </w:r>
      <w:r>
        <w:rPr>
          <w:rFonts w:hint="eastAsia" w:ascii="华文仿宋" w:hAnsi="华文仿宋" w:cs="宋体"/>
          <w:color w:val="000000"/>
          <w:sz w:val="28"/>
          <w:szCs w:val="28"/>
        </w:rPr>
        <w:t>期限延长30天</w:t>
      </w:r>
      <w:r>
        <w:rPr>
          <w:rFonts w:hint="eastAsia" w:ascii="华文仿宋" w:hAnsi="华文仿宋" w:cs="宋体"/>
          <w:color w:val="000000"/>
          <w:sz w:val="28"/>
          <w:szCs w:val="28"/>
          <w:lang w:eastAsia="zh-CN"/>
        </w:rPr>
        <w:t>，</w:t>
      </w:r>
      <w:r>
        <w:rPr>
          <w:rFonts w:hint="eastAsia" w:ascii="华文仿宋" w:hAnsi="华文仿宋" w:cs="宋体"/>
          <w:color w:val="000000"/>
          <w:sz w:val="28"/>
          <w:szCs w:val="28"/>
        </w:rPr>
        <w:t>因乙方不能及时提供服务，甲方有权安排第三方进行处理，</w:t>
      </w:r>
      <w:r>
        <w:rPr>
          <w:rFonts w:hint="eastAsia" w:ascii="宋体" w:hAnsi="宋体" w:cs="宋体"/>
          <w:kern w:val="0"/>
          <w:sz w:val="28"/>
          <w:szCs w:val="28"/>
          <w:lang w:eastAsia="zh-CN"/>
        </w:rPr>
        <w:t>甲方将安排第三方进行处理，费用从质量保证金中扣除，</w:t>
      </w:r>
      <w:r>
        <w:rPr>
          <w:rFonts w:hint="eastAsia" w:ascii="华文仿宋" w:hAnsi="华文仿宋" w:cs="宋体"/>
          <w:color w:val="000000"/>
          <w:sz w:val="28"/>
          <w:szCs w:val="28"/>
        </w:rPr>
        <w:t>大于</w:t>
      </w:r>
      <w:r>
        <w:rPr>
          <w:rFonts w:hint="eastAsia" w:ascii="华文仿宋" w:hAnsi="华文仿宋" w:cs="宋体"/>
          <w:color w:val="000000"/>
          <w:sz w:val="28"/>
          <w:szCs w:val="28"/>
          <w:lang w:eastAsia="zh-CN"/>
        </w:rPr>
        <w:t>质量</w:t>
      </w:r>
      <w:r>
        <w:rPr>
          <w:rFonts w:hint="eastAsia" w:ascii="华文仿宋" w:hAnsi="华文仿宋" w:cs="宋体"/>
          <w:color w:val="000000"/>
          <w:sz w:val="28"/>
          <w:szCs w:val="28"/>
        </w:rPr>
        <w:t>保证金的甲方有权向乙方追偿。</w:t>
      </w:r>
    </w:p>
    <w:p>
      <w:pPr>
        <w:pStyle w:val="19"/>
        <w:snapToGrid w:val="0"/>
        <w:spacing w:line="360" w:lineRule="auto"/>
        <w:ind w:firstLine="0" w:firstLineChars="0"/>
        <w:jc w:val="left"/>
        <w:rPr>
          <w:rFonts w:hint="eastAsia" w:ascii="华文仿宋" w:hAnsi="华文仿宋" w:cs="宋体"/>
          <w:color w:val="000000"/>
          <w:sz w:val="28"/>
          <w:szCs w:val="28"/>
        </w:rPr>
      </w:pPr>
      <w:r>
        <w:rPr>
          <w:rFonts w:hint="eastAsia" w:ascii="华文仿宋" w:hAnsi="华文仿宋" w:cs="宋体"/>
          <w:color w:val="000000"/>
          <w:sz w:val="28"/>
          <w:szCs w:val="28"/>
        </w:rPr>
        <w:t>（</w:t>
      </w:r>
      <w:r>
        <w:rPr>
          <w:rFonts w:hint="eastAsia" w:ascii="华文仿宋" w:hAnsi="华文仿宋" w:cs="宋体"/>
          <w:color w:val="000000"/>
          <w:sz w:val="28"/>
          <w:szCs w:val="28"/>
          <w:lang w:eastAsia="zh-CN"/>
        </w:rPr>
        <w:t>三</w:t>
      </w:r>
      <w:r>
        <w:rPr>
          <w:rFonts w:hint="eastAsia" w:ascii="华文仿宋" w:hAnsi="华文仿宋" w:cs="宋体"/>
          <w:color w:val="000000"/>
          <w:sz w:val="28"/>
          <w:szCs w:val="28"/>
        </w:rPr>
        <w:t>）乙方提供</w:t>
      </w:r>
      <w:r>
        <w:rPr>
          <w:rFonts w:hint="eastAsia" w:ascii="华文仿宋" w:hAnsi="华文仿宋" w:cs="宋体"/>
          <w:color w:val="000000"/>
          <w:sz w:val="28"/>
          <w:szCs w:val="28"/>
          <w:lang w:eastAsia="zh-CN"/>
        </w:rPr>
        <w:t>软件</w:t>
      </w:r>
      <w:r>
        <w:rPr>
          <w:rFonts w:hint="eastAsia" w:ascii="华文仿宋" w:hAnsi="华文仿宋" w:cs="宋体"/>
          <w:color w:val="000000"/>
          <w:sz w:val="28"/>
          <w:szCs w:val="28"/>
        </w:rPr>
        <w:t>为</w:t>
      </w:r>
      <w:r>
        <w:rPr>
          <w:rFonts w:hint="eastAsia" w:ascii="华文仿宋" w:hAnsi="华文仿宋" w:cs="宋体"/>
          <w:color w:val="000000"/>
          <w:sz w:val="28"/>
          <w:szCs w:val="28"/>
          <w:lang w:eastAsia="zh-CN"/>
        </w:rPr>
        <w:t>非最新版本软件或者</w:t>
      </w:r>
      <w:r>
        <w:rPr>
          <w:rFonts w:hint="eastAsia" w:ascii="华文仿宋" w:hAnsi="华文仿宋" w:cs="宋体"/>
          <w:color w:val="000000"/>
          <w:sz w:val="28"/>
          <w:szCs w:val="28"/>
        </w:rPr>
        <w:t>与</w:t>
      </w:r>
      <w:r>
        <w:rPr>
          <w:rFonts w:hint="eastAsia" w:ascii="华文仿宋" w:hAnsi="华文仿宋" w:cs="宋体"/>
          <w:color w:val="000000"/>
          <w:sz w:val="28"/>
          <w:szCs w:val="28"/>
          <w:lang w:eastAsia="zh-CN"/>
        </w:rPr>
        <w:t>投</w:t>
      </w:r>
      <w:r>
        <w:rPr>
          <w:rFonts w:hint="eastAsia" w:ascii="华文仿宋" w:hAnsi="华文仿宋" w:cs="宋体"/>
          <w:color w:val="000000"/>
          <w:sz w:val="28"/>
          <w:szCs w:val="28"/>
        </w:rPr>
        <w:t>标文件不符</w:t>
      </w:r>
      <w:r>
        <w:rPr>
          <w:rFonts w:hint="eastAsia" w:ascii="华文仿宋" w:hAnsi="华文仿宋" w:cs="宋体"/>
          <w:color w:val="000000"/>
          <w:sz w:val="28"/>
          <w:szCs w:val="28"/>
          <w:lang w:eastAsia="zh-CN"/>
        </w:rPr>
        <w:t>的</w:t>
      </w:r>
      <w:r>
        <w:rPr>
          <w:rFonts w:hint="eastAsia" w:ascii="华文仿宋" w:hAnsi="华文仿宋" w:cs="宋体"/>
          <w:color w:val="000000"/>
          <w:sz w:val="28"/>
          <w:szCs w:val="28"/>
        </w:rPr>
        <w:t>，甲方拒付所有款项，履约保证金不予退还。因非</w:t>
      </w:r>
      <w:r>
        <w:rPr>
          <w:rFonts w:hint="eastAsia" w:ascii="华文仿宋" w:hAnsi="华文仿宋" w:cs="宋体"/>
          <w:color w:val="000000"/>
          <w:sz w:val="28"/>
          <w:szCs w:val="28"/>
          <w:lang w:eastAsia="zh-CN"/>
        </w:rPr>
        <w:t>最</w:t>
      </w:r>
      <w:r>
        <w:rPr>
          <w:rFonts w:hint="eastAsia" w:ascii="华文仿宋" w:hAnsi="华文仿宋" w:cs="宋体"/>
          <w:color w:val="000000"/>
          <w:sz w:val="28"/>
          <w:szCs w:val="28"/>
        </w:rPr>
        <w:t>新</w:t>
      </w:r>
      <w:r>
        <w:rPr>
          <w:rFonts w:hint="eastAsia" w:ascii="华文仿宋" w:hAnsi="华文仿宋" w:cs="宋体"/>
          <w:color w:val="000000"/>
          <w:sz w:val="28"/>
          <w:szCs w:val="28"/>
          <w:lang w:eastAsia="zh-CN"/>
        </w:rPr>
        <w:t>版本软件</w:t>
      </w:r>
      <w:r>
        <w:rPr>
          <w:rFonts w:hint="eastAsia" w:ascii="华文仿宋" w:hAnsi="华文仿宋" w:cs="宋体"/>
          <w:color w:val="000000"/>
          <w:sz w:val="28"/>
          <w:szCs w:val="28"/>
        </w:rPr>
        <w:t>或者与</w:t>
      </w:r>
      <w:r>
        <w:rPr>
          <w:rFonts w:hint="eastAsia" w:ascii="华文仿宋" w:hAnsi="华文仿宋" w:cs="宋体"/>
          <w:color w:val="000000"/>
          <w:sz w:val="28"/>
          <w:szCs w:val="28"/>
          <w:lang w:eastAsia="zh-CN"/>
        </w:rPr>
        <w:t>投</w:t>
      </w:r>
      <w:r>
        <w:rPr>
          <w:rFonts w:hint="eastAsia" w:ascii="华文仿宋" w:hAnsi="华文仿宋" w:cs="宋体"/>
          <w:color w:val="000000"/>
          <w:sz w:val="28"/>
          <w:szCs w:val="28"/>
        </w:rPr>
        <w:t>标文件不符给甲方造成损失由乙方承担</w:t>
      </w:r>
      <w:r>
        <w:rPr>
          <w:rFonts w:hint="eastAsia" w:ascii="华文仿宋" w:hAnsi="华文仿宋" w:cs="宋体"/>
          <w:color w:val="000000"/>
          <w:sz w:val="28"/>
          <w:szCs w:val="28"/>
          <w:lang w:eastAsia="zh-CN"/>
        </w:rPr>
        <w:t>，乙方</w:t>
      </w:r>
      <w:r>
        <w:rPr>
          <w:rFonts w:hint="eastAsia" w:ascii="华文仿宋" w:hAnsi="华文仿宋" w:cs="宋体"/>
          <w:color w:val="000000"/>
          <w:sz w:val="28"/>
          <w:szCs w:val="28"/>
        </w:rPr>
        <w:t>还应赔偿包括但不限于诉讼费、律师费、差旅费等</w:t>
      </w:r>
      <w:r>
        <w:rPr>
          <w:rFonts w:hint="eastAsia" w:ascii="华文仿宋" w:hAnsi="华文仿宋" w:cs="宋体"/>
          <w:color w:val="000000"/>
          <w:sz w:val="28"/>
          <w:szCs w:val="28"/>
          <w:lang w:eastAsia="zh-CN"/>
        </w:rPr>
        <w:t>费用</w:t>
      </w:r>
      <w:r>
        <w:rPr>
          <w:rFonts w:hint="eastAsia" w:ascii="华文仿宋" w:hAnsi="华文仿宋" w:cs="宋体"/>
          <w:color w:val="000000"/>
          <w:sz w:val="28"/>
          <w:szCs w:val="28"/>
        </w:rPr>
        <w:t>。</w:t>
      </w:r>
    </w:p>
    <w:p>
      <w:pPr>
        <w:snapToGrid w:val="0"/>
        <w:spacing w:line="360" w:lineRule="auto"/>
        <w:jc w:val="left"/>
        <w:rPr>
          <w:rFonts w:ascii="华文仿宋" w:eastAsia="华文仿宋" w:cs="宋体"/>
          <w:color w:val="000000"/>
          <w:sz w:val="30"/>
          <w:szCs w:val="30"/>
        </w:rPr>
      </w:pPr>
      <w:r>
        <w:rPr>
          <w:rFonts w:hint="eastAsia" w:ascii="华文仿宋" w:hAnsi="华文仿宋" w:cs="宋体"/>
          <w:color w:val="000000"/>
          <w:sz w:val="30"/>
          <w:szCs w:val="30"/>
          <w:lang w:eastAsia="zh-CN"/>
        </w:rPr>
        <w:t>八</w:t>
      </w:r>
      <w:r>
        <w:rPr>
          <w:rFonts w:hint="eastAsia" w:ascii="华文仿宋" w:hAnsi="华文仿宋" w:cs="宋体"/>
          <w:color w:val="000000"/>
          <w:sz w:val="30"/>
          <w:szCs w:val="30"/>
        </w:rPr>
        <w:t>、解决纠纷方式</w:t>
      </w:r>
    </w:p>
    <w:p>
      <w:pPr>
        <w:spacing w:line="460" w:lineRule="exact"/>
        <w:jc w:val="left"/>
        <w:rPr>
          <w:rFonts w:hint="eastAsia" w:ascii="华文仿宋" w:hAnsi="华文仿宋" w:cs="宋体"/>
          <w:color w:val="000000"/>
          <w:sz w:val="28"/>
          <w:szCs w:val="28"/>
        </w:rPr>
      </w:pPr>
      <w:r>
        <w:rPr>
          <w:rFonts w:hint="eastAsia" w:ascii="华文仿宋" w:hAnsi="华文仿宋" w:cs="宋体"/>
          <w:color w:val="000000"/>
          <w:sz w:val="28"/>
          <w:szCs w:val="28"/>
        </w:rPr>
        <w:t>双方约定，本合同在履行过程中发生的争议，由双方当事人协商解决，协商不成的依法向甲方所在地人民法院提起诉讼。</w:t>
      </w:r>
    </w:p>
    <w:p>
      <w:pPr>
        <w:spacing w:line="460" w:lineRule="exact"/>
        <w:jc w:val="both"/>
        <w:rPr>
          <w:rFonts w:hint="eastAsia" w:ascii="黑体" w:hAnsi="宋体" w:eastAsia="黑体"/>
          <w:color w:val="auto"/>
          <w:sz w:val="30"/>
          <w:szCs w:val="30"/>
        </w:rPr>
      </w:pPr>
    </w:p>
    <w:p>
      <w:pPr>
        <w:spacing w:line="46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eastAsia="zh-CN"/>
        </w:rPr>
        <w:t>四、</w:t>
      </w:r>
      <w:r>
        <w:rPr>
          <w:rFonts w:hint="eastAsia" w:ascii="宋体" w:hAnsi="宋体" w:eastAsia="宋体" w:cs="宋体"/>
          <w:b/>
          <w:bCs/>
          <w:color w:val="auto"/>
          <w:sz w:val="36"/>
          <w:szCs w:val="36"/>
        </w:rPr>
        <w:t>评标办法</w:t>
      </w:r>
    </w:p>
    <w:p>
      <w:pPr>
        <w:spacing w:before="303" w:beforeLines="100" w:after="303" w:afterLines="100" w:line="460" w:lineRule="exact"/>
        <w:jc w:val="center"/>
        <w:outlineLvl w:val="0"/>
        <w:rPr>
          <w:rFonts w:hint="eastAsia" w:ascii="宋体" w:hAnsi="宋体"/>
          <w:b/>
          <w:color w:val="auto"/>
          <w:sz w:val="32"/>
          <w:szCs w:val="32"/>
        </w:rPr>
      </w:pPr>
      <w:r>
        <w:rPr>
          <w:rFonts w:hint="eastAsia" w:ascii="宋体" w:hAnsi="宋体"/>
          <w:b/>
          <w:color w:val="auto"/>
          <w:sz w:val="32"/>
          <w:szCs w:val="32"/>
          <w:lang w:eastAsia="zh-CN"/>
        </w:rPr>
        <w:t>（一）</w:t>
      </w:r>
      <w:r>
        <w:rPr>
          <w:rFonts w:hint="eastAsia" w:ascii="宋体" w:hAnsi="宋体"/>
          <w:b/>
          <w:color w:val="auto"/>
          <w:sz w:val="32"/>
          <w:szCs w:val="32"/>
        </w:rPr>
        <w:t>总则</w:t>
      </w:r>
    </w:p>
    <w:p>
      <w:pPr>
        <w:spacing w:line="460" w:lineRule="exact"/>
        <w:ind w:firstLine="422" w:firstLineChars="150"/>
        <w:jc w:val="left"/>
        <w:rPr>
          <w:rFonts w:hint="eastAsia" w:ascii="宋体" w:hAnsi="宋体"/>
          <w:b/>
          <w:color w:val="auto"/>
          <w:sz w:val="28"/>
          <w:szCs w:val="28"/>
        </w:rPr>
      </w:pPr>
      <w:r>
        <w:rPr>
          <w:rFonts w:hint="eastAsia" w:ascii="宋体" w:hAnsi="宋体"/>
          <w:b/>
          <w:color w:val="auto"/>
          <w:sz w:val="28"/>
          <w:szCs w:val="28"/>
        </w:rPr>
        <w:t xml:space="preserve"> 1.</w:t>
      </w:r>
      <w:r>
        <w:rPr>
          <w:rFonts w:hint="eastAsia" w:ascii="宋体" w:hAnsi="宋体"/>
          <w:b/>
          <w:color w:val="auto"/>
          <w:sz w:val="28"/>
          <w:szCs w:val="28"/>
          <w:lang w:val="en-US" w:eastAsia="zh-CN"/>
        </w:rPr>
        <w:t>1</w:t>
      </w:r>
      <w:r>
        <w:rPr>
          <w:rFonts w:hint="eastAsia" w:ascii="宋体" w:hAnsi="宋体"/>
          <w:b/>
          <w:color w:val="auto"/>
          <w:sz w:val="28"/>
          <w:szCs w:val="28"/>
        </w:rPr>
        <w:t>本次评标采用</w:t>
      </w:r>
      <w:r>
        <w:rPr>
          <w:rFonts w:ascii="宋体" w:hAnsi="宋体"/>
          <w:b/>
          <w:color w:val="auto"/>
          <w:sz w:val="28"/>
          <w:szCs w:val="28"/>
        </w:rPr>
        <w:t>综合评分法</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val="en-US" w:eastAsia="zh-CN"/>
        </w:rPr>
        <w:t>1.1.1</w:t>
      </w:r>
      <w:r>
        <w:rPr>
          <w:rFonts w:ascii="宋体" w:hAnsi="宋体"/>
          <w:color w:val="auto"/>
          <w:sz w:val="28"/>
          <w:szCs w:val="28"/>
        </w:rPr>
        <w:t>综合评分法</w:t>
      </w:r>
      <w:r>
        <w:rPr>
          <w:rFonts w:hint="eastAsia"/>
          <w:color w:val="auto"/>
          <w:sz w:val="28"/>
          <w:szCs w:val="28"/>
        </w:rPr>
        <w:t>是</w:t>
      </w:r>
      <w:r>
        <w:rPr>
          <w:rFonts w:hint="eastAsia" w:ascii="宋体" w:hAnsi="宋体"/>
          <w:color w:val="auto"/>
          <w:sz w:val="28"/>
          <w:szCs w:val="28"/>
        </w:rPr>
        <w:t>指投标文件满足招标文件全部实质性要求且按照评审因素的量化指标评审得分最高的供应商为中标候选人的评标方法。</w:t>
      </w:r>
    </w:p>
    <w:p>
      <w:pPr>
        <w:spacing w:line="460" w:lineRule="exact"/>
        <w:ind w:firstLine="560" w:firstLineChars="200"/>
        <w:jc w:val="left"/>
        <w:rPr>
          <w:rFonts w:hint="eastAsia" w:ascii="宋体" w:hAnsi="宋体"/>
          <w:color w:val="auto"/>
          <w:sz w:val="28"/>
          <w:szCs w:val="28"/>
        </w:rPr>
      </w:pPr>
      <w:r>
        <w:rPr>
          <w:rFonts w:hint="eastAsia" w:ascii="华文仿宋" w:hAnsi="华文仿宋" w:cs="宋体"/>
          <w:color w:val="000000" w:themeColor="text1"/>
          <w:sz w:val="28"/>
          <w:szCs w:val="28"/>
          <w:lang w:val="en-US" w:eastAsia="zh-CN"/>
          <w14:textFill>
            <w14:solidFill>
              <w14:schemeClr w14:val="tx1"/>
            </w14:solidFill>
          </w14:textFill>
        </w:rPr>
        <w:t>1.1.2</w:t>
      </w:r>
      <w:r>
        <w:rPr>
          <w:rFonts w:hint="eastAsia" w:ascii="华文仿宋" w:hAnsi="华文仿宋" w:cs="宋体"/>
          <w:color w:val="000000" w:themeColor="text1"/>
          <w:sz w:val="28"/>
          <w:szCs w:val="28"/>
          <w14:textFill>
            <w14:solidFill>
              <w14:schemeClr w14:val="tx1"/>
            </w14:solidFill>
          </w14:textFill>
        </w:rPr>
        <w:t>评标委员会首先对投标人进行资格符合性审查，审查合格的投标人进入商务评分阶段，评委会依法对各投标文件进行评审，根据综合评审得分从高到低依次排序，综合得分相同的，按投标总报价由低到高顺序排列，推荐前</w:t>
      </w:r>
      <w:r>
        <w:rPr>
          <w:rFonts w:ascii="华文仿宋" w:hAnsi="华文仿宋" w:cs="宋体"/>
          <w:color w:val="000000" w:themeColor="text1"/>
          <w:sz w:val="28"/>
          <w:szCs w:val="28"/>
          <w14:textFill>
            <w14:solidFill>
              <w14:schemeClr w14:val="tx1"/>
            </w14:solidFill>
          </w14:textFill>
        </w:rPr>
        <w:t>2</w:t>
      </w:r>
      <w:r>
        <w:rPr>
          <w:rFonts w:hint="eastAsia" w:ascii="华文仿宋" w:hAnsi="华文仿宋" w:cs="宋体"/>
          <w:color w:val="000000" w:themeColor="text1"/>
          <w:sz w:val="28"/>
          <w:szCs w:val="28"/>
          <w14:textFill>
            <w14:solidFill>
              <w14:schemeClr w14:val="tx1"/>
            </w14:solidFill>
          </w14:textFill>
        </w:rPr>
        <w:t>名为中标候选人；如果投标人不足三家，采用二次报价，根据第二次报价的综合得分确定中标人；如果投标人不足两家，采取洽商方式议定。</w:t>
      </w:r>
    </w:p>
    <w:p>
      <w:pPr>
        <w:spacing w:line="460" w:lineRule="exact"/>
        <w:ind w:firstLine="422" w:firstLineChars="150"/>
        <w:jc w:val="left"/>
        <w:rPr>
          <w:rFonts w:hint="eastAsia" w:ascii="宋体" w:hAnsi="宋体"/>
          <w:b/>
          <w:color w:val="auto"/>
          <w:sz w:val="28"/>
          <w:szCs w:val="28"/>
        </w:rPr>
      </w:pPr>
      <w:r>
        <w:rPr>
          <w:rFonts w:hint="eastAsia" w:ascii="宋体" w:hAnsi="宋体" w:cs="宋体"/>
          <w:b/>
          <w:bCs/>
          <w:color w:val="auto"/>
          <w:sz w:val="28"/>
          <w:szCs w:val="28"/>
          <w:u w:val="none" w:color="auto"/>
        </w:rPr>
        <w:t xml:space="preserve"> </w:t>
      </w:r>
      <w:r>
        <w:rPr>
          <w:rFonts w:hint="eastAsia" w:ascii="宋体" w:hAnsi="宋体" w:cs="宋体"/>
          <w:b/>
          <w:bCs/>
          <w:color w:val="auto"/>
          <w:sz w:val="28"/>
          <w:szCs w:val="28"/>
          <w:u w:val="none" w:color="auto"/>
          <w:lang w:val="en-US" w:eastAsia="zh-CN"/>
        </w:rPr>
        <w:t>1.2</w:t>
      </w:r>
      <w:r>
        <w:rPr>
          <w:rFonts w:hint="eastAsia" w:ascii="宋体" w:hAnsi="宋体"/>
          <w:b/>
          <w:color w:val="auto"/>
          <w:sz w:val="28"/>
          <w:szCs w:val="28"/>
        </w:rPr>
        <w:t>评标程序</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val="en-US" w:eastAsia="zh-CN"/>
        </w:rPr>
        <w:t>1.2.1</w:t>
      </w:r>
      <w:r>
        <w:rPr>
          <w:rFonts w:hint="eastAsia" w:ascii="宋体" w:hAnsi="宋体"/>
          <w:color w:val="auto"/>
          <w:sz w:val="28"/>
          <w:szCs w:val="28"/>
        </w:rPr>
        <w:t>投标文件的初审</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1</w:t>
      </w:r>
      <w:r>
        <w:rPr>
          <w:rFonts w:hint="eastAsia" w:ascii="宋体" w:hAnsi="宋体"/>
          <w:color w:val="auto"/>
          <w:sz w:val="28"/>
          <w:szCs w:val="28"/>
          <w:lang w:eastAsia="zh-CN"/>
        </w:rPr>
        <w:t>）</w:t>
      </w:r>
      <w:r>
        <w:rPr>
          <w:rFonts w:ascii="宋体" w:hAnsi="宋体"/>
          <w:color w:val="auto"/>
          <w:sz w:val="28"/>
          <w:szCs w:val="28"/>
        </w:rPr>
        <w:t>资格性检查。依据法律法规和</w:t>
      </w:r>
      <w:r>
        <w:rPr>
          <w:rFonts w:hint="eastAsia" w:ascii="宋体" w:hAnsi="宋体"/>
          <w:color w:val="auto"/>
          <w:sz w:val="28"/>
          <w:szCs w:val="28"/>
        </w:rPr>
        <w:t>招标文件</w:t>
      </w:r>
      <w:r>
        <w:rPr>
          <w:rFonts w:ascii="宋体" w:hAnsi="宋体"/>
          <w:color w:val="auto"/>
          <w:sz w:val="28"/>
          <w:szCs w:val="28"/>
        </w:rPr>
        <w:t>的规定，对投标文件中的资格证明、投标保证金等进行审查，以确定</w:t>
      </w:r>
      <w:r>
        <w:rPr>
          <w:rFonts w:hint="eastAsia" w:ascii="宋体" w:hAnsi="宋体"/>
          <w:color w:val="auto"/>
          <w:sz w:val="28"/>
          <w:szCs w:val="28"/>
        </w:rPr>
        <w:t>投标人</w:t>
      </w:r>
      <w:r>
        <w:rPr>
          <w:rFonts w:ascii="宋体" w:hAnsi="宋体"/>
          <w:color w:val="auto"/>
          <w:sz w:val="28"/>
          <w:szCs w:val="28"/>
        </w:rPr>
        <w:t xml:space="preserve">是否具备投标资格。 </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2</w:t>
      </w:r>
      <w:r>
        <w:rPr>
          <w:rFonts w:hint="eastAsia" w:ascii="宋体" w:hAnsi="宋体"/>
          <w:color w:val="auto"/>
          <w:sz w:val="28"/>
          <w:szCs w:val="28"/>
          <w:lang w:eastAsia="zh-CN"/>
        </w:rPr>
        <w:t>）</w:t>
      </w:r>
      <w:r>
        <w:rPr>
          <w:rFonts w:ascii="宋体" w:hAnsi="宋体"/>
          <w:color w:val="auto"/>
          <w:sz w:val="28"/>
          <w:szCs w:val="28"/>
        </w:rPr>
        <w:t>符合性检查。依据</w:t>
      </w:r>
      <w:r>
        <w:rPr>
          <w:rFonts w:hint="eastAsia" w:ascii="宋体" w:hAnsi="宋体"/>
          <w:color w:val="auto"/>
          <w:sz w:val="28"/>
          <w:szCs w:val="28"/>
        </w:rPr>
        <w:t>招标文件</w:t>
      </w:r>
      <w:r>
        <w:rPr>
          <w:rFonts w:ascii="宋体" w:hAnsi="宋体"/>
          <w:color w:val="auto"/>
          <w:sz w:val="28"/>
          <w:szCs w:val="28"/>
        </w:rPr>
        <w:t>的规定，从投标文件的有效性、完整性和对</w:t>
      </w:r>
      <w:r>
        <w:rPr>
          <w:rFonts w:hint="eastAsia" w:ascii="宋体" w:hAnsi="宋体"/>
          <w:color w:val="auto"/>
          <w:sz w:val="28"/>
          <w:szCs w:val="28"/>
        </w:rPr>
        <w:t>招标文件</w:t>
      </w:r>
      <w:r>
        <w:rPr>
          <w:rFonts w:ascii="宋体" w:hAnsi="宋体"/>
          <w:color w:val="auto"/>
          <w:sz w:val="28"/>
          <w:szCs w:val="28"/>
        </w:rPr>
        <w:t>的响应程度进行审查，以确定</w:t>
      </w:r>
      <w:r>
        <w:rPr>
          <w:rFonts w:hint="eastAsia" w:ascii="宋体" w:hAnsi="宋体"/>
          <w:color w:val="auto"/>
          <w:sz w:val="28"/>
          <w:szCs w:val="28"/>
        </w:rPr>
        <w:t>投标人</w:t>
      </w:r>
      <w:r>
        <w:rPr>
          <w:rFonts w:ascii="宋体" w:hAnsi="宋体"/>
          <w:color w:val="auto"/>
          <w:sz w:val="28"/>
          <w:szCs w:val="28"/>
        </w:rPr>
        <w:t>是否对</w:t>
      </w:r>
      <w:r>
        <w:rPr>
          <w:rFonts w:hint="eastAsia" w:ascii="宋体" w:hAnsi="宋体"/>
          <w:color w:val="auto"/>
          <w:sz w:val="28"/>
          <w:szCs w:val="28"/>
        </w:rPr>
        <w:t>招标文件</w:t>
      </w:r>
      <w:r>
        <w:rPr>
          <w:rFonts w:ascii="宋体" w:hAnsi="宋体"/>
          <w:color w:val="auto"/>
          <w:sz w:val="28"/>
          <w:szCs w:val="28"/>
        </w:rPr>
        <w:t>的实质性要求作出响应。</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val="en-US" w:eastAsia="zh-CN"/>
        </w:rPr>
        <w:t>1.2.2</w:t>
      </w:r>
      <w:r>
        <w:rPr>
          <w:rFonts w:hint="eastAsia" w:ascii="宋体" w:hAnsi="宋体"/>
          <w:color w:val="auto"/>
          <w:sz w:val="28"/>
          <w:szCs w:val="28"/>
        </w:rPr>
        <w:t>投标文件的澄清</w:t>
      </w:r>
    </w:p>
    <w:p>
      <w:pPr>
        <w:spacing w:line="460" w:lineRule="exact"/>
        <w:ind w:firstLine="560" w:firstLineChars="200"/>
        <w:rPr>
          <w:rFonts w:ascii="宋体" w:hAnsi="宋体"/>
          <w:color w:val="FF0000"/>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1</w:t>
      </w:r>
      <w:r>
        <w:rPr>
          <w:rFonts w:hint="eastAsia" w:ascii="宋体" w:hAnsi="宋体"/>
          <w:color w:val="auto"/>
          <w:sz w:val="28"/>
          <w:szCs w:val="28"/>
          <w:lang w:eastAsia="zh-CN"/>
        </w:rPr>
        <w:t>）</w:t>
      </w:r>
      <w:r>
        <w:rPr>
          <w:rFonts w:hint="eastAsia" w:ascii="宋体" w:hAnsi="宋体"/>
          <w:color w:val="auto"/>
          <w:sz w:val="28"/>
          <w:szCs w:val="28"/>
        </w:rPr>
        <w:t>在评标过程中，评标委员会认为需要，在监督人员在场的情况下，可要求投标单位对投标文件中的有关问题进行澄清或提供补充说明及有关资料，投标单位应做出书面答复。</w:t>
      </w:r>
    </w:p>
    <w:p>
      <w:pPr>
        <w:spacing w:line="460" w:lineRule="exact"/>
        <w:ind w:firstLine="560" w:firstLineChars="200"/>
        <w:rPr>
          <w:rFonts w:ascii="宋体" w:hAnsi="宋体"/>
          <w:color w:val="FF0000"/>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2</w:t>
      </w:r>
      <w:r>
        <w:rPr>
          <w:rFonts w:hint="eastAsia" w:ascii="宋体" w:hAnsi="宋体"/>
          <w:color w:val="auto"/>
          <w:sz w:val="28"/>
          <w:szCs w:val="28"/>
          <w:lang w:eastAsia="zh-CN"/>
        </w:rPr>
        <w:t>）</w:t>
      </w:r>
      <w:r>
        <w:rPr>
          <w:rFonts w:hint="eastAsia" w:ascii="宋体" w:hAnsi="宋体"/>
          <w:color w:val="auto"/>
          <w:sz w:val="28"/>
          <w:szCs w:val="28"/>
        </w:rPr>
        <w:t>书面答复须经投标单位法定代理人或其授权委托代理人的签字或印鉴，签字或盖印鉴的书面答复将视为投标文件的组成。投标截止时间后，投标人对投标投标或其它实质性内容修正的函件和增加的任何优惠条件，一律不得作为评标、定标的依据。</w:t>
      </w:r>
    </w:p>
    <w:p>
      <w:pPr>
        <w:spacing w:line="460" w:lineRule="exact"/>
        <w:ind w:firstLine="560" w:firstLineChars="200"/>
        <w:jc w:val="left"/>
        <w:rPr>
          <w:rFonts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3</w:t>
      </w:r>
      <w:r>
        <w:rPr>
          <w:rFonts w:hint="eastAsia" w:ascii="宋体" w:hAnsi="宋体"/>
          <w:color w:val="auto"/>
          <w:sz w:val="28"/>
          <w:szCs w:val="28"/>
          <w:lang w:eastAsia="zh-CN"/>
        </w:rPr>
        <w:t>）</w:t>
      </w:r>
      <w:r>
        <w:rPr>
          <w:rFonts w:hint="eastAsia" w:ascii="宋体" w:hAnsi="宋体"/>
          <w:color w:val="auto"/>
          <w:sz w:val="28"/>
          <w:szCs w:val="28"/>
        </w:rPr>
        <w:t>招标人不接受投标人主动提出的澄清。</w:t>
      </w:r>
    </w:p>
    <w:p>
      <w:pPr>
        <w:spacing w:line="460" w:lineRule="exact"/>
        <w:ind w:firstLine="560" w:firstLineChars="200"/>
      </w:pPr>
      <w:r>
        <w:rPr>
          <w:rFonts w:hint="eastAsia" w:ascii="宋体" w:hAnsi="宋体"/>
          <w:color w:val="auto"/>
          <w:sz w:val="28"/>
          <w:szCs w:val="28"/>
          <w:lang w:val="en-US" w:eastAsia="zh-CN"/>
        </w:rPr>
        <w:t>1.2.3</w:t>
      </w:r>
      <w:r>
        <w:rPr>
          <w:rFonts w:hint="eastAsia" w:ascii="宋体" w:hAnsi="宋体"/>
          <w:color w:val="auto"/>
          <w:sz w:val="28"/>
          <w:szCs w:val="28"/>
        </w:rPr>
        <w:t>在投标文件的审查、澄清、评标以及授予合同过程中，如投标单位对招标单位和评标委员会成员施加影响的任何行为，都将导致取消其中标资格。</w:t>
      </w:r>
    </w:p>
    <w:p>
      <w:pPr>
        <w:spacing w:before="303" w:beforeLines="100" w:after="303" w:afterLines="100" w:line="460" w:lineRule="exact"/>
        <w:jc w:val="center"/>
        <w:outlineLvl w:val="0"/>
        <w:rPr>
          <w:rFonts w:hint="eastAsia" w:ascii="宋体" w:hAnsi="宋体"/>
          <w:b/>
          <w:color w:val="auto"/>
          <w:sz w:val="32"/>
          <w:szCs w:val="32"/>
        </w:rPr>
      </w:pPr>
      <w:r>
        <w:rPr>
          <w:rFonts w:hint="eastAsia" w:ascii="宋体" w:hAnsi="宋体"/>
          <w:b/>
          <w:color w:val="auto"/>
          <w:sz w:val="32"/>
          <w:szCs w:val="32"/>
          <w:lang w:eastAsia="zh-CN"/>
        </w:rPr>
        <w:t>（二）</w:t>
      </w:r>
      <w:r>
        <w:rPr>
          <w:rFonts w:hint="eastAsia" w:ascii="宋体" w:hAnsi="宋体"/>
          <w:b/>
          <w:color w:val="auto"/>
          <w:sz w:val="32"/>
          <w:szCs w:val="32"/>
        </w:rPr>
        <w:t>投标文件初审</w:t>
      </w:r>
    </w:p>
    <w:p>
      <w:pPr>
        <w:spacing w:line="460" w:lineRule="exact"/>
        <w:ind w:firstLine="562" w:firstLineChars="200"/>
        <w:jc w:val="left"/>
        <w:rPr>
          <w:rFonts w:hint="eastAsia" w:ascii="宋体" w:hAnsi="宋体"/>
          <w:color w:val="auto"/>
          <w:sz w:val="28"/>
          <w:szCs w:val="28"/>
        </w:rPr>
      </w:pPr>
      <w:r>
        <w:rPr>
          <w:rFonts w:hint="eastAsia" w:ascii="宋体" w:hAnsi="宋体"/>
          <w:b/>
          <w:bCs/>
          <w:color w:val="auto"/>
          <w:sz w:val="28"/>
          <w:szCs w:val="28"/>
          <w:lang w:val="en-US" w:eastAsia="zh-CN"/>
        </w:rPr>
        <w:t>2.1</w:t>
      </w:r>
      <w:r>
        <w:rPr>
          <w:rFonts w:hint="eastAsia" w:ascii="宋体" w:hAnsi="宋体"/>
          <w:b/>
          <w:bCs/>
          <w:color w:val="auto"/>
          <w:sz w:val="28"/>
          <w:szCs w:val="28"/>
        </w:rPr>
        <w:t>初审表</w:t>
      </w:r>
      <w:r>
        <w:rPr>
          <w:rFonts w:hint="eastAsia" w:ascii="宋体" w:hAnsi="宋体"/>
          <w:color w:val="auto"/>
          <w:sz w:val="28"/>
          <w:szCs w:val="28"/>
        </w:rPr>
        <w:t>（注：本表不需要投标人填写）</w:t>
      </w:r>
    </w:p>
    <w:tbl>
      <w:tblPr>
        <w:tblStyle w:val="15"/>
        <w:tblW w:w="105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0"/>
        <w:gridCol w:w="4467"/>
        <w:gridCol w:w="1736"/>
        <w:gridCol w:w="1006"/>
        <w:gridCol w:w="27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exact"/>
        </w:trPr>
        <w:tc>
          <w:tcPr>
            <w:tcW w:w="10599" w:type="dxa"/>
            <w:gridSpan w:val="5"/>
            <w:tcMar>
              <w:top w:w="0" w:type="dxa"/>
              <w:left w:w="108" w:type="dxa"/>
              <w:bottom w:w="0" w:type="dxa"/>
              <w:right w:w="108" w:type="dxa"/>
            </w:tcMar>
            <w:vAlign w:val="center"/>
          </w:tcPr>
          <w:p>
            <w:pPr>
              <w:pStyle w:val="20"/>
              <w:snapToGrid w:val="0"/>
              <w:spacing w:before="0" w:beforeAutospacing="0" w:after="0" w:afterAutospacing="0" w:line="300" w:lineRule="exact"/>
              <w:ind w:right="-10"/>
              <w:rPr>
                <w:rFonts w:hint="eastAsia" w:ascii="宋体" w:hAnsi="宋体"/>
                <w:sz w:val="28"/>
                <w:szCs w:val="28"/>
              </w:rPr>
            </w:pPr>
            <w:r>
              <w:rPr>
                <w:rFonts w:hint="eastAsia" w:ascii="宋体" w:hAnsi="宋体"/>
                <w:b/>
                <w:bCs/>
                <w:sz w:val="28"/>
                <w:szCs w:val="28"/>
              </w:rPr>
              <w:t>安徽相王医疗健康股份有限公司体检中心导检系统及皖北康复医院叫号系统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exact"/>
        </w:trPr>
        <w:tc>
          <w:tcPr>
            <w:tcW w:w="10599" w:type="dxa"/>
            <w:gridSpan w:val="5"/>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b/>
                <w:bCs/>
                <w:color w:val="auto"/>
                <w:sz w:val="28"/>
                <w:szCs w:val="28"/>
              </w:rPr>
              <w:t>一、初审指标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4" w:hRule="exact"/>
        </w:trPr>
        <w:tc>
          <w:tcPr>
            <w:tcW w:w="610" w:type="dxa"/>
            <w:shd w:val="clear" w:color="auto" w:fill="D9D9D9"/>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序号</w:t>
            </w:r>
          </w:p>
        </w:tc>
        <w:tc>
          <w:tcPr>
            <w:tcW w:w="4467" w:type="dxa"/>
            <w:shd w:val="clear" w:color="auto" w:fill="D9D9D9"/>
            <w:tcMar>
              <w:top w:w="0" w:type="dxa"/>
              <w:left w:w="108" w:type="dxa"/>
              <w:bottom w:w="0" w:type="dxa"/>
              <w:right w:w="108" w:type="dxa"/>
            </w:tcMar>
            <w:vAlign w:val="center"/>
          </w:tcPr>
          <w:p>
            <w:pPr>
              <w:pStyle w:val="20"/>
              <w:snapToGrid w:val="0"/>
              <w:spacing w:before="0" w:beforeAutospacing="0" w:after="0" w:afterAutospacing="0" w:line="300" w:lineRule="exact"/>
              <w:ind w:right="-10"/>
              <w:rPr>
                <w:rFonts w:hint="eastAsia" w:ascii="宋体" w:hAnsi="宋体"/>
                <w:b/>
                <w:sz w:val="28"/>
                <w:szCs w:val="28"/>
              </w:rPr>
            </w:pPr>
            <w:r>
              <w:rPr>
                <w:rFonts w:hint="eastAsia" w:ascii="宋体" w:hAnsi="宋体"/>
                <w:b/>
                <w:sz w:val="28"/>
                <w:szCs w:val="28"/>
              </w:rPr>
              <w:t>指标名称</w:t>
            </w:r>
          </w:p>
        </w:tc>
        <w:tc>
          <w:tcPr>
            <w:tcW w:w="1736" w:type="dxa"/>
            <w:shd w:val="clear" w:color="auto" w:fill="D9D9D9"/>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指标要求</w:t>
            </w:r>
          </w:p>
        </w:tc>
        <w:tc>
          <w:tcPr>
            <w:tcW w:w="1006" w:type="dxa"/>
            <w:shd w:val="clear" w:color="auto" w:fill="D9D9D9"/>
            <w:tcMar>
              <w:top w:w="0" w:type="dxa"/>
              <w:left w:w="108" w:type="dxa"/>
              <w:bottom w:w="0" w:type="dxa"/>
              <w:right w:w="108" w:type="dxa"/>
            </w:tcMar>
            <w:vAlign w:val="center"/>
          </w:tcPr>
          <w:p>
            <w:pPr>
              <w:snapToGrid w:val="0"/>
              <w:spacing w:line="300" w:lineRule="exact"/>
              <w:ind w:right="-10"/>
              <w:jc w:val="center"/>
              <w:rPr>
                <w:rFonts w:hint="eastAsia" w:ascii="宋体" w:hAnsi="宋体"/>
                <w:b/>
                <w:color w:val="auto"/>
                <w:sz w:val="28"/>
                <w:szCs w:val="28"/>
              </w:rPr>
            </w:pPr>
            <w:r>
              <w:rPr>
                <w:rFonts w:hint="eastAsia" w:ascii="宋体" w:hAnsi="宋体"/>
                <w:b/>
                <w:color w:val="auto"/>
                <w:sz w:val="28"/>
                <w:szCs w:val="28"/>
              </w:rPr>
              <w:t>是否通过</w:t>
            </w:r>
          </w:p>
        </w:tc>
        <w:tc>
          <w:tcPr>
            <w:tcW w:w="2780" w:type="dxa"/>
            <w:shd w:val="clear" w:color="auto" w:fill="D9D9D9"/>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投标文件格式或提交资料要求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4" w:hRule="exact"/>
        </w:trPr>
        <w:tc>
          <w:tcPr>
            <w:tcW w:w="610" w:type="dxa"/>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1</w:t>
            </w:r>
          </w:p>
        </w:tc>
        <w:tc>
          <w:tcPr>
            <w:tcW w:w="4467"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企业法人授权书</w:t>
            </w:r>
          </w:p>
        </w:tc>
        <w:tc>
          <w:tcPr>
            <w:tcW w:w="1736"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9" w:hRule="exact"/>
        </w:trPr>
        <w:tc>
          <w:tcPr>
            <w:tcW w:w="610" w:type="dxa"/>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2</w:t>
            </w:r>
          </w:p>
        </w:tc>
        <w:tc>
          <w:tcPr>
            <w:tcW w:w="4467"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营业执照</w:t>
            </w:r>
          </w:p>
        </w:tc>
        <w:tc>
          <w:tcPr>
            <w:tcW w:w="1736"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2" w:hRule="exact"/>
        </w:trPr>
        <w:tc>
          <w:tcPr>
            <w:tcW w:w="610" w:type="dxa"/>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3</w:t>
            </w:r>
          </w:p>
        </w:tc>
        <w:tc>
          <w:tcPr>
            <w:tcW w:w="4467"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机构代码证、税务登记证（已办理三证合一的本项可不提供）</w:t>
            </w:r>
          </w:p>
        </w:tc>
        <w:tc>
          <w:tcPr>
            <w:tcW w:w="1736"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27" w:hRule="exact"/>
        </w:trPr>
        <w:tc>
          <w:tcPr>
            <w:tcW w:w="610" w:type="dxa"/>
            <w:tcMar>
              <w:top w:w="0" w:type="dxa"/>
              <w:left w:w="108" w:type="dxa"/>
              <w:bottom w:w="0" w:type="dxa"/>
              <w:right w:w="108" w:type="dxa"/>
            </w:tcMar>
            <w:vAlign w:val="center"/>
          </w:tcPr>
          <w:p>
            <w:pPr>
              <w:snapToGrid w:val="0"/>
              <w:spacing w:line="300" w:lineRule="exact"/>
              <w:ind w:right="-10"/>
              <w:jc w:val="center"/>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4</w:t>
            </w:r>
          </w:p>
        </w:tc>
        <w:tc>
          <w:tcPr>
            <w:tcW w:w="4467"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Calibri" w:hAnsi="Calibri" w:eastAsia="宋体" w:cs="宋体"/>
                <w:color w:val="000000"/>
                <w:kern w:val="2"/>
                <w:sz w:val="28"/>
                <w:szCs w:val="28"/>
                <w:u w:val="none"/>
              </w:rPr>
              <w:t>相关软件项目开发案例</w:t>
            </w:r>
          </w:p>
        </w:tc>
        <w:tc>
          <w:tcPr>
            <w:tcW w:w="1736"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17" w:hRule="exact"/>
        </w:trPr>
        <w:tc>
          <w:tcPr>
            <w:tcW w:w="610" w:type="dxa"/>
            <w:tcMar>
              <w:top w:w="0" w:type="dxa"/>
              <w:left w:w="108" w:type="dxa"/>
              <w:bottom w:w="0" w:type="dxa"/>
              <w:right w:w="108" w:type="dxa"/>
            </w:tcMar>
            <w:vAlign w:val="center"/>
          </w:tcPr>
          <w:p>
            <w:pPr>
              <w:widowControl w:val="0"/>
              <w:autoSpaceDE w:val="0"/>
              <w:autoSpaceDN w:val="0"/>
              <w:adjustRightInd w:val="0"/>
              <w:spacing w:line="360" w:lineRule="auto"/>
              <w:jc w:val="center"/>
              <w:textAlignment w:val="auto"/>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5</w:t>
            </w:r>
          </w:p>
        </w:tc>
        <w:tc>
          <w:tcPr>
            <w:tcW w:w="4467"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投标产品报价表</w:t>
            </w:r>
          </w:p>
        </w:tc>
        <w:tc>
          <w:tcPr>
            <w:tcW w:w="1736"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只能有一个有效报价（合理报价），不得提交选择性报价。</w:t>
            </w:r>
          </w:p>
        </w:tc>
        <w:tc>
          <w:tcPr>
            <w:tcW w:w="1006"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p>
        </w:tc>
        <w:tc>
          <w:tcPr>
            <w:tcW w:w="2780"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3" w:hRule="exact"/>
        </w:trPr>
        <w:tc>
          <w:tcPr>
            <w:tcW w:w="610" w:type="dxa"/>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6</w:t>
            </w:r>
          </w:p>
        </w:tc>
        <w:tc>
          <w:tcPr>
            <w:tcW w:w="4467" w:type="dxa"/>
            <w:tcMar>
              <w:top w:w="0" w:type="dxa"/>
              <w:left w:w="108" w:type="dxa"/>
              <w:bottom w:w="0" w:type="dxa"/>
              <w:right w:w="108" w:type="dxa"/>
            </w:tcMar>
            <w:vAlign w:val="center"/>
          </w:tcPr>
          <w:p>
            <w:pPr>
              <w:spacing w:line="300" w:lineRule="exact"/>
              <w:rPr>
                <w:rFonts w:hint="eastAsia" w:ascii="宋体" w:hAnsi="宋体" w:eastAsia="宋体"/>
                <w:color w:val="auto"/>
                <w:sz w:val="28"/>
                <w:szCs w:val="28"/>
                <w:lang w:eastAsia="zh-CN"/>
              </w:rPr>
            </w:pPr>
            <w:r>
              <w:rPr>
                <w:rFonts w:hint="eastAsia" w:ascii="宋体" w:hAnsi="宋体"/>
                <w:color w:val="auto"/>
                <w:sz w:val="28"/>
                <w:szCs w:val="28"/>
              </w:rPr>
              <w:t>投标人参加集中招标采购活动（投标资料递交截止日）前三年内，在经营活动中无严重违法记录</w:t>
            </w:r>
            <w:r>
              <w:rPr>
                <w:rFonts w:hint="eastAsia" w:ascii="宋体" w:hAnsi="宋体"/>
                <w:color w:val="auto"/>
                <w:sz w:val="28"/>
                <w:szCs w:val="28"/>
                <w:lang w:eastAsia="zh-CN"/>
              </w:rPr>
              <w:t>。</w:t>
            </w:r>
          </w:p>
        </w:tc>
        <w:tc>
          <w:tcPr>
            <w:tcW w:w="1736"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c>
          <w:tcPr>
            <w:tcW w:w="1006"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5" w:hRule="exact"/>
        </w:trPr>
        <w:tc>
          <w:tcPr>
            <w:tcW w:w="610" w:type="dxa"/>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7</w:t>
            </w:r>
          </w:p>
        </w:tc>
        <w:tc>
          <w:tcPr>
            <w:tcW w:w="4467"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投标保证金</w:t>
            </w:r>
          </w:p>
        </w:tc>
        <w:tc>
          <w:tcPr>
            <w:tcW w:w="1736"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c>
          <w:tcPr>
            <w:tcW w:w="1006"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投标保证金以现金方式交付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29" w:hRule="exact"/>
        </w:trPr>
        <w:tc>
          <w:tcPr>
            <w:tcW w:w="610" w:type="dxa"/>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8</w:t>
            </w:r>
          </w:p>
        </w:tc>
        <w:tc>
          <w:tcPr>
            <w:tcW w:w="4467" w:type="dxa"/>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投标文件规范性</w:t>
            </w:r>
          </w:p>
        </w:tc>
        <w:tc>
          <w:tcPr>
            <w:tcW w:w="1736" w:type="dxa"/>
            <w:tcMar>
              <w:top w:w="0" w:type="dxa"/>
              <w:left w:w="108" w:type="dxa"/>
              <w:bottom w:w="0" w:type="dxa"/>
              <w:right w:w="108" w:type="dxa"/>
            </w:tcMar>
            <w:vAlign w:val="center"/>
          </w:tcPr>
          <w:p>
            <w:pPr>
              <w:pStyle w:val="20"/>
              <w:spacing w:before="0" w:beforeAutospacing="0" w:after="0" w:afterAutospacing="0" w:line="300" w:lineRule="exact"/>
              <w:ind w:right="-10"/>
              <w:rPr>
                <w:rFonts w:hint="eastAsia" w:ascii="宋体" w:hAnsi="宋体"/>
                <w:sz w:val="28"/>
                <w:szCs w:val="28"/>
              </w:rPr>
            </w:pPr>
            <w:r>
              <w:rPr>
                <w:rFonts w:hint="eastAsia" w:ascii="宋体" w:hAnsi="宋体"/>
                <w:sz w:val="28"/>
                <w:szCs w:val="28"/>
              </w:rPr>
              <w:t>符合招标文件要求</w:t>
            </w:r>
          </w:p>
        </w:tc>
        <w:tc>
          <w:tcPr>
            <w:tcW w:w="1006"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封装符合要求，纸质投标文件数量符合招标文件规定。无严重的编排混乱、内容不全或字迹模糊辨认不清、前后矛盾情况，对评标无实质性影响的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9" w:hRule="exact"/>
        </w:trPr>
        <w:tc>
          <w:tcPr>
            <w:tcW w:w="10599" w:type="dxa"/>
            <w:gridSpan w:val="5"/>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初审指标通过标准：投标人必须通过上述全部指标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9" w:hRule="exact"/>
        </w:trPr>
        <w:tc>
          <w:tcPr>
            <w:tcW w:w="10599" w:type="dxa"/>
            <w:gridSpan w:val="5"/>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评委签字：</w:t>
            </w:r>
          </w:p>
          <w:p>
            <w:pPr>
              <w:snapToGrid w:val="0"/>
              <w:spacing w:line="300" w:lineRule="exact"/>
              <w:ind w:right="-10"/>
              <w:rPr>
                <w:rFonts w:hint="eastAsia" w:ascii="宋体" w:hAnsi="宋体"/>
                <w:color w:val="auto"/>
                <w:sz w:val="28"/>
                <w:szCs w:val="28"/>
              </w:rPr>
            </w:pPr>
          </w:p>
          <w:p>
            <w:pPr>
              <w:spacing w:line="300" w:lineRule="exact"/>
              <w:rPr>
                <w:rFonts w:hint="eastAsia" w:ascii="宋体" w:hAnsi="宋体"/>
                <w:color w:val="auto"/>
                <w:sz w:val="28"/>
                <w:szCs w:val="28"/>
              </w:rPr>
            </w:pPr>
            <w:r>
              <w:rPr>
                <w:rFonts w:hint="eastAsia" w:ascii="宋体" w:hAnsi="宋体"/>
                <w:color w:val="auto"/>
                <w:sz w:val="28"/>
                <w:szCs w:val="28"/>
              </w:rPr>
              <w:t>评审时间：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72" w:hRule="exact"/>
        </w:trPr>
        <w:tc>
          <w:tcPr>
            <w:tcW w:w="10599" w:type="dxa"/>
            <w:gridSpan w:val="5"/>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注：无论何种原因，招标文件要求投标人投标时携带的原件或投标人自行携带的原件，即使投标人开标时携带了证书材料的原件，但在投标文件中未提供相应复印件或影印件的，视同投标人未提供。</w:t>
            </w:r>
          </w:p>
        </w:tc>
      </w:tr>
    </w:tbl>
    <w:p>
      <w:pPr>
        <w:spacing w:line="460" w:lineRule="exact"/>
        <w:rPr>
          <w:rFonts w:hint="eastAsia" w:ascii="宋体" w:hAnsi="宋体" w:eastAsia="宋体" w:cs="Times New Roman"/>
          <w:color w:val="auto"/>
          <w:sz w:val="28"/>
          <w:szCs w:val="28"/>
        </w:rPr>
      </w:pP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.2评委会判定投标文件的响应性只根据投标文件本身的内容，而不寻求外部的证据，但投标有不真实不正确的内容时除外。</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.3如果投标文件实质上没有响应招标文件的要求，评委会将予以拒绝，投标人不得通过修正或撤销不符合要求的偏离或保留，而使其投标成为实质上响应的投标。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2</w:t>
      </w:r>
      <w:r>
        <w:rPr>
          <w:rFonts w:hint="eastAsia" w:ascii="宋体" w:hAnsi="宋体" w:eastAsia="宋体" w:cs="Times New Roman"/>
          <w:color w:val="auto"/>
          <w:sz w:val="28"/>
          <w:szCs w:val="28"/>
        </w:rPr>
        <w:t>.</w:t>
      </w:r>
      <w:r>
        <w:rPr>
          <w:rFonts w:hint="eastAsia" w:ascii="宋体" w:hAnsi="宋体" w:eastAsia="宋体" w:cs="Times New Roman"/>
          <w:color w:val="auto"/>
          <w:sz w:val="28"/>
          <w:szCs w:val="28"/>
          <w:lang w:val="en-US" w:eastAsia="zh-CN"/>
        </w:rPr>
        <w:t>4</w:t>
      </w:r>
      <w:r>
        <w:rPr>
          <w:rFonts w:hint="eastAsia" w:ascii="宋体" w:hAnsi="宋体" w:eastAsia="宋体" w:cs="Times New Roman"/>
          <w:color w:val="auto"/>
          <w:sz w:val="28"/>
          <w:szCs w:val="28"/>
        </w:rPr>
        <w:t>只有通过初审的投标人才能进入下一步评标程序。</w:t>
      </w:r>
      <w:r>
        <w:rPr>
          <w:rFonts w:hint="eastAsia" w:ascii="宋体" w:hAnsi="宋体" w:eastAsia="宋体" w:cs="Times New Roman"/>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Times New Roman"/>
          <w:color w:val="auto"/>
          <w:sz w:val="28"/>
          <w:szCs w:val="28"/>
          <w:lang w:val="en-US" w:eastAsia="zh-CN"/>
        </w:rPr>
      </w:pPr>
    </w:p>
    <w:p>
      <w:pPr>
        <w:widowControl w:val="0"/>
        <w:numPr>
          <w:ilvl w:val="0"/>
          <w:numId w:val="4"/>
        </w:numPr>
        <w:spacing w:line="460" w:lineRule="exact"/>
        <w:ind w:left="0" w:leftChars="0" w:firstLine="0" w:firstLineChars="0"/>
        <w:jc w:val="center"/>
        <w:textAlignment w:val="auto"/>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投标文件的澄清和补正</w:t>
      </w:r>
    </w:p>
    <w:p>
      <w:pPr>
        <w:widowControl w:val="0"/>
        <w:numPr>
          <w:ilvl w:val="0"/>
          <w:numId w:val="0"/>
        </w:numPr>
        <w:spacing w:line="460" w:lineRule="exact"/>
        <w:ind w:leftChars="0"/>
        <w:jc w:val="both"/>
        <w:textAlignment w:val="auto"/>
        <w:rPr>
          <w:rFonts w:hint="eastAsia" w:ascii="宋体" w:hAnsi="宋体" w:eastAsia="宋体" w:cs="Times New Roman"/>
          <w:b/>
          <w:bCs/>
          <w:color w:val="auto"/>
          <w:sz w:val="32"/>
          <w:szCs w:val="32"/>
        </w:rPr>
      </w:pP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.1评审</w:t>
      </w:r>
      <w:r>
        <w:rPr>
          <w:rFonts w:ascii="宋体" w:hAnsi="宋体"/>
          <w:color w:val="auto"/>
          <w:sz w:val="28"/>
          <w:szCs w:val="28"/>
        </w:rPr>
        <w:t>阶段</w:t>
      </w:r>
      <w:r>
        <w:rPr>
          <w:rFonts w:hint="eastAsia" w:ascii="宋体" w:hAnsi="宋体"/>
          <w:color w:val="auto"/>
          <w:sz w:val="28"/>
          <w:szCs w:val="28"/>
        </w:rPr>
        <w:t>，评委可能会要求有关投标人就其</w:t>
      </w:r>
      <w:r>
        <w:rPr>
          <w:rFonts w:ascii="宋体" w:hAnsi="宋体"/>
          <w:color w:val="auto"/>
          <w:sz w:val="28"/>
          <w:szCs w:val="28"/>
        </w:rPr>
        <w:t>投标</w:t>
      </w:r>
      <w:r>
        <w:rPr>
          <w:rFonts w:hint="eastAsia" w:ascii="宋体" w:hAnsi="宋体"/>
          <w:color w:val="auto"/>
          <w:sz w:val="28"/>
          <w:szCs w:val="28"/>
        </w:rPr>
        <w:t>书</w:t>
      </w:r>
      <w:r>
        <w:rPr>
          <w:rFonts w:ascii="宋体" w:hAnsi="宋体"/>
          <w:color w:val="auto"/>
          <w:sz w:val="28"/>
          <w:szCs w:val="28"/>
        </w:rPr>
        <w:t>中含义不明确、同类问题表述不一致或者有明显文字和计算错误的内容</w:t>
      </w:r>
      <w:r>
        <w:rPr>
          <w:rFonts w:hint="eastAsia" w:ascii="宋体" w:hAnsi="宋体"/>
          <w:color w:val="auto"/>
          <w:sz w:val="28"/>
          <w:szCs w:val="28"/>
        </w:rPr>
        <w:t>进行澄清。</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.2投标人</w:t>
      </w:r>
      <w:r>
        <w:rPr>
          <w:rFonts w:ascii="宋体" w:hAnsi="宋体"/>
          <w:color w:val="auto"/>
          <w:sz w:val="28"/>
          <w:szCs w:val="28"/>
        </w:rPr>
        <w:t>的澄清、说明或者补正应当采用书面形式，</w:t>
      </w:r>
      <w:r>
        <w:rPr>
          <w:rFonts w:hint="eastAsia" w:ascii="宋体" w:hAnsi="宋体"/>
          <w:color w:val="auto"/>
          <w:sz w:val="28"/>
          <w:szCs w:val="28"/>
        </w:rPr>
        <w:t>但</w:t>
      </w:r>
      <w:r>
        <w:rPr>
          <w:rFonts w:ascii="宋体" w:hAnsi="宋体"/>
          <w:color w:val="auto"/>
          <w:sz w:val="28"/>
          <w:szCs w:val="28"/>
        </w:rPr>
        <w:t>不得超出投标</w:t>
      </w:r>
      <w:r>
        <w:rPr>
          <w:rFonts w:hint="eastAsia" w:ascii="宋体" w:hAnsi="宋体"/>
          <w:color w:val="auto"/>
          <w:sz w:val="28"/>
          <w:szCs w:val="28"/>
        </w:rPr>
        <w:t>书</w:t>
      </w:r>
      <w:r>
        <w:rPr>
          <w:rFonts w:ascii="宋体" w:hAnsi="宋体"/>
          <w:color w:val="auto"/>
          <w:sz w:val="28"/>
          <w:szCs w:val="28"/>
        </w:rPr>
        <w:t>的范围或者改变投标</w:t>
      </w:r>
      <w:r>
        <w:rPr>
          <w:rFonts w:hint="eastAsia" w:ascii="宋体" w:hAnsi="宋体"/>
          <w:color w:val="auto"/>
          <w:sz w:val="28"/>
          <w:szCs w:val="28"/>
        </w:rPr>
        <w:t>书</w:t>
      </w:r>
      <w:r>
        <w:rPr>
          <w:rFonts w:ascii="宋体" w:hAnsi="宋体"/>
          <w:color w:val="auto"/>
          <w:sz w:val="28"/>
          <w:szCs w:val="28"/>
        </w:rPr>
        <w:t>的实质性内容</w:t>
      </w:r>
      <w:r>
        <w:rPr>
          <w:rFonts w:hint="eastAsia" w:ascii="宋体" w:hAnsi="宋体"/>
          <w:color w:val="auto"/>
          <w:sz w:val="28"/>
          <w:szCs w:val="28"/>
        </w:rPr>
        <w:t>，并</w:t>
      </w:r>
      <w:r>
        <w:rPr>
          <w:rFonts w:ascii="宋体" w:hAnsi="宋体"/>
          <w:color w:val="auto"/>
          <w:sz w:val="28"/>
          <w:szCs w:val="28"/>
        </w:rPr>
        <w:t>由其</w:t>
      </w:r>
      <w:r>
        <w:rPr>
          <w:rFonts w:hint="eastAsia" w:ascii="宋体" w:hAnsi="宋体"/>
          <w:color w:val="auto"/>
          <w:sz w:val="28"/>
          <w:szCs w:val="28"/>
        </w:rPr>
        <w:t>法定代表人或被</w:t>
      </w:r>
      <w:r>
        <w:rPr>
          <w:rFonts w:ascii="宋体" w:hAnsi="宋体"/>
          <w:color w:val="auto"/>
          <w:sz w:val="28"/>
          <w:szCs w:val="28"/>
        </w:rPr>
        <w:t>授权的代表签字。</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.3</w:t>
      </w:r>
      <w:r>
        <w:rPr>
          <w:rFonts w:ascii="宋体" w:hAnsi="宋体"/>
          <w:color w:val="auto"/>
          <w:sz w:val="28"/>
          <w:szCs w:val="28"/>
        </w:rPr>
        <w:t>评委会修正错误的原则</w:t>
      </w:r>
      <w:r>
        <w:rPr>
          <w:rFonts w:hint="eastAsia" w:ascii="宋体" w:hAnsi="宋体"/>
          <w:color w:val="auto"/>
          <w:sz w:val="28"/>
          <w:szCs w:val="28"/>
        </w:rPr>
        <w:t>：</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（1）</w:t>
      </w:r>
      <w:r>
        <w:rPr>
          <w:rFonts w:ascii="宋体" w:hAnsi="宋体"/>
          <w:color w:val="auto"/>
          <w:sz w:val="28"/>
          <w:szCs w:val="28"/>
        </w:rPr>
        <w:t>如果数字表示的金额和用文字表示的金额不一致时，以文字表示的金额为准</w:t>
      </w:r>
      <w:r>
        <w:rPr>
          <w:rFonts w:hint="eastAsia" w:ascii="宋体" w:hAnsi="宋体"/>
          <w:color w:val="auto"/>
          <w:sz w:val="28"/>
          <w:szCs w:val="28"/>
        </w:rPr>
        <w:t>；当</w:t>
      </w:r>
      <w:r>
        <w:rPr>
          <w:rFonts w:ascii="Calibri" w:hAnsi="Calibri"/>
          <w:bCs/>
          <w:color w:val="auto"/>
          <w:kern w:val="2"/>
          <w:sz w:val="28"/>
          <w:szCs w:val="28"/>
          <w:u w:val="none" w:color="auto"/>
        </w:rPr>
        <w:t>投标分项</w:t>
      </w:r>
      <w:r>
        <w:rPr>
          <w:rFonts w:hint="eastAsia" w:ascii="Calibri" w:hAnsi="Calibri"/>
          <w:bCs/>
          <w:color w:val="auto"/>
          <w:kern w:val="2"/>
          <w:sz w:val="28"/>
          <w:szCs w:val="28"/>
          <w:u w:val="none" w:color="auto"/>
        </w:rPr>
        <w:t>投标表及</w:t>
      </w:r>
      <w:r>
        <w:rPr>
          <w:rFonts w:ascii="Calibri" w:hAnsi="Calibri"/>
          <w:bCs/>
          <w:color w:val="auto"/>
          <w:kern w:val="2"/>
          <w:sz w:val="28"/>
          <w:szCs w:val="28"/>
          <w:u w:val="none" w:color="auto"/>
        </w:rPr>
        <w:t>技术规格偏离</w:t>
      </w:r>
      <w:r>
        <w:rPr>
          <w:rFonts w:hint="eastAsia" w:ascii="Calibri" w:hAnsi="Calibri"/>
          <w:bCs/>
          <w:color w:val="auto"/>
          <w:kern w:val="2"/>
          <w:sz w:val="28"/>
          <w:szCs w:val="28"/>
          <w:u w:val="none" w:color="auto"/>
        </w:rPr>
        <w:t>表</w:t>
      </w:r>
      <w:r>
        <w:rPr>
          <w:rFonts w:hint="eastAsia" w:ascii="宋体" w:hAnsi="宋体" w:cs="Arial"/>
          <w:bCs/>
          <w:color w:val="auto"/>
          <w:sz w:val="28"/>
          <w:szCs w:val="28"/>
          <w:u w:val="none" w:color="auto"/>
        </w:rPr>
        <w:t>合计</w:t>
      </w:r>
      <w:r>
        <w:rPr>
          <w:rFonts w:hint="eastAsia" w:ascii="Calibri" w:hAnsi="Calibri"/>
          <w:bCs/>
          <w:color w:val="auto"/>
          <w:kern w:val="2"/>
          <w:sz w:val="28"/>
          <w:szCs w:val="28"/>
          <w:u w:val="none" w:color="auto"/>
        </w:rPr>
        <w:t>金额</w:t>
      </w:r>
      <w:r>
        <w:rPr>
          <w:rFonts w:hint="eastAsia" w:ascii="宋体" w:hAnsi="宋体"/>
          <w:color w:val="auto"/>
          <w:sz w:val="28"/>
          <w:szCs w:val="28"/>
        </w:rPr>
        <w:t>、投标函的总投标与开标一览表不一致时，以开标一览表为准。</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（2）</w:t>
      </w:r>
      <w:r>
        <w:rPr>
          <w:rFonts w:ascii="宋体" w:hAnsi="宋体"/>
          <w:color w:val="auto"/>
          <w:sz w:val="28"/>
          <w:szCs w:val="28"/>
        </w:rPr>
        <w:t>如果单价与数量的乘积和总价不一致，以单价为准</w:t>
      </w:r>
      <w:r>
        <w:rPr>
          <w:rFonts w:hint="eastAsia" w:ascii="宋体" w:hAnsi="宋体"/>
          <w:color w:val="auto"/>
          <w:sz w:val="28"/>
          <w:szCs w:val="28"/>
        </w:rPr>
        <w:t>，修正总价及开标一览表；</w:t>
      </w:r>
      <w:r>
        <w:rPr>
          <w:rFonts w:ascii="宋体" w:hAnsi="宋体"/>
          <w:color w:val="auto"/>
          <w:sz w:val="28"/>
          <w:szCs w:val="28"/>
        </w:rPr>
        <w:t>当</w:t>
      </w:r>
      <w:r>
        <w:rPr>
          <w:rFonts w:hint="eastAsia" w:ascii="宋体" w:hAnsi="宋体"/>
          <w:color w:val="auto"/>
          <w:sz w:val="28"/>
          <w:szCs w:val="28"/>
        </w:rPr>
        <w:t>单价</w:t>
      </w:r>
      <w:r>
        <w:rPr>
          <w:rFonts w:ascii="宋体" w:hAnsi="宋体"/>
          <w:color w:val="auto"/>
          <w:sz w:val="28"/>
          <w:szCs w:val="28"/>
        </w:rPr>
        <w:t>小数点有明显的</w:t>
      </w:r>
      <w:r>
        <w:rPr>
          <w:rFonts w:hint="eastAsia" w:ascii="宋体" w:hAnsi="宋体"/>
          <w:color w:val="auto"/>
          <w:sz w:val="28"/>
          <w:szCs w:val="28"/>
        </w:rPr>
        <w:t>错位</w:t>
      </w:r>
      <w:r>
        <w:rPr>
          <w:rFonts w:ascii="宋体" w:hAnsi="宋体"/>
          <w:color w:val="auto"/>
          <w:sz w:val="28"/>
          <w:szCs w:val="28"/>
        </w:rPr>
        <w:t>时，评委会将以总价为准，并修正其单价</w:t>
      </w:r>
      <w:r>
        <w:rPr>
          <w:rFonts w:hint="eastAsia" w:ascii="宋体" w:hAnsi="宋体"/>
          <w:color w:val="auto"/>
          <w:sz w:val="28"/>
          <w:szCs w:val="28"/>
        </w:rPr>
        <w:t>。</w:t>
      </w:r>
    </w:p>
    <w:p>
      <w:pPr>
        <w:spacing w:line="460" w:lineRule="exact"/>
        <w:ind w:firstLine="537" w:firstLineChars="192"/>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.4评委会将按上述修正错误的方法调整投标文件中的投标，调整后的价格应对投标人具有约束力。无论投标人是接受或是拒绝调整后的价格，都应当由委托代理人签字予以书面确认。</w:t>
      </w:r>
    </w:p>
    <w:p>
      <w:pPr>
        <w:spacing w:line="460" w:lineRule="exact"/>
        <w:ind w:firstLine="537" w:firstLineChars="192"/>
        <w:rPr>
          <w:rFonts w:hint="eastAsia" w:ascii="宋体" w:hAnsi="宋体"/>
          <w:color w:val="auto"/>
          <w:sz w:val="28"/>
          <w:szCs w:val="28"/>
        </w:rPr>
      </w:pPr>
    </w:p>
    <w:p>
      <w:pPr>
        <w:widowControl w:val="0"/>
        <w:numPr>
          <w:ilvl w:val="0"/>
          <w:numId w:val="4"/>
        </w:numPr>
        <w:spacing w:line="460" w:lineRule="exact"/>
        <w:ind w:left="0" w:leftChars="0" w:firstLine="0" w:firstLineChars="0"/>
        <w:jc w:val="center"/>
        <w:textAlignment w:val="auto"/>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评标办法及标准</w:t>
      </w:r>
    </w:p>
    <w:p>
      <w:pPr>
        <w:widowControl w:val="0"/>
        <w:numPr>
          <w:ilvl w:val="0"/>
          <w:numId w:val="0"/>
        </w:numPr>
        <w:spacing w:line="460" w:lineRule="exact"/>
        <w:ind w:leftChars="0"/>
        <w:jc w:val="both"/>
        <w:textAlignment w:val="auto"/>
        <w:rPr>
          <w:rFonts w:hint="eastAsia" w:ascii="宋体" w:hAnsi="宋体" w:eastAsia="宋体" w:cs="Times New Roman"/>
          <w:b/>
          <w:bCs/>
          <w:color w:val="auto"/>
          <w:sz w:val="32"/>
          <w:szCs w:val="32"/>
        </w:rPr>
      </w:pPr>
    </w:p>
    <w:p>
      <w:pPr>
        <w:widowControl w:val="0"/>
        <w:spacing w:line="360" w:lineRule="auto"/>
        <w:ind w:firstLine="562" w:firstLineChars="200"/>
        <w:jc w:val="left"/>
        <w:textAlignment w:val="auto"/>
        <w:rPr>
          <w:rFonts w:hint="eastAsia" w:ascii="Calibri" w:hAnsi="Calibri"/>
          <w:color w:val="auto"/>
          <w:kern w:val="2"/>
          <w:sz w:val="28"/>
          <w:szCs w:val="28"/>
          <w:u w:val="none" w:color="auto"/>
        </w:rPr>
      </w:pPr>
      <w:r>
        <w:rPr>
          <w:rFonts w:hint="eastAsia" w:ascii="Calibri" w:hAnsi="Calibri"/>
          <w:b/>
          <w:color w:val="auto"/>
          <w:kern w:val="2"/>
          <w:sz w:val="28"/>
          <w:szCs w:val="28"/>
          <w:u w:val="none" w:color="auto"/>
          <w:lang w:val="en-US" w:eastAsia="zh-CN"/>
        </w:rPr>
        <w:t>4.</w:t>
      </w:r>
      <w:r>
        <w:rPr>
          <w:rFonts w:hint="eastAsia" w:ascii="Calibri" w:hAnsi="Calibri"/>
          <w:b/>
          <w:color w:val="auto"/>
          <w:kern w:val="2"/>
          <w:sz w:val="28"/>
          <w:szCs w:val="28"/>
          <w:u w:val="none" w:color="auto"/>
        </w:rPr>
        <w:t>1</w:t>
      </w:r>
      <w:r>
        <w:rPr>
          <w:rFonts w:hint="eastAsia" w:ascii="宋体" w:hAnsi="宋体"/>
          <w:b/>
          <w:color w:val="auto"/>
          <w:sz w:val="28"/>
          <w:szCs w:val="28"/>
        </w:rPr>
        <w:t xml:space="preserve"> 评标方法：</w:t>
      </w:r>
      <w:r>
        <w:rPr>
          <w:rFonts w:hint="eastAsia" w:ascii="Calibri" w:hAnsi="Calibri"/>
          <w:color w:val="auto"/>
          <w:kern w:val="2"/>
          <w:sz w:val="28"/>
          <w:szCs w:val="28"/>
          <w:u w:val="none" w:color="auto"/>
        </w:rPr>
        <w:t>综合评分法。评标委员会只对通过初审，实质上响应招标文件要求的投标文件按照下述评分表进行详审评分。</w:t>
      </w:r>
    </w:p>
    <w:p>
      <w:pPr>
        <w:widowControl w:val="0"/>
        <w:spacing w:line="360" w:lineRule="auto"/>
        <w:ind w:firstLine="562" w:firstLineChars="200"/>
        <w:jc w:val="left"/>
        <w:textAlignment w:val="auto"/>
        <w:rPr>
          <w:rFonts w:hint="eastAsia" w:ascii="Calibri" w:hAnsi="Calibri"/>
          <w:b/>
          <w:color w:val="auto"/>
          <w:kern w:val="2"/>
          <w:sz w:val="28"/>
          <w:szCs w:val="28"/>
          <w:u w:val="none" w:color="auto"/>
        </w:rPr>
      </w:pPr>
      <w:r>
        <w:rPr>
          <w:rFonts w:hint="eastAsia" w:ascii="Calibri" w:hAnsi="Calibri"/>
          <w:b/>
          <w:color w:val="auto"/>
          <w:kern w:val="2"/>
          <w:sz w:val="28"/>
          <w:szCs w:val="28"/>
          <w:u w:val="none" w:color="auto"/>
          <w:lang w:val="en-US" w:eastAsia="zh-CN"/>
        </w:rPr>
        <w:t>4</w:t>
      </w:r>
      <w:r>
        <w:rPr>
          <w:rFonts w:hint="eastAsia" w:ascii="Calibri" w:hAnsi="Calibri"/>
          <w:b/>
          <w:color w:val="auto"/>
          <w:kern w:val="2"/>
          <w:sz w:val="28"/>
          <w:szCs w:val="28"/>
          <w:u w:val="none" w:color="auto"/>
        </w:rPr>
        <w:t>.2 评标标准</w:t>
      </w:r>
    </w:p>
    <w:tbl>
      <w:tblPr>
        <w:tblStyle w:val="15"/>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963"/>
        <w:gridCol w:w="636"/>
        <w:gridCol w:w="72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hint="eastAsia" w:ascii="华文仿宋" w:hAnsi="华文仿宋" w:eastAsia="宋体" w:cs="宋体"/>
                <w:b/>
                <w:bCs/>
                <w:color w:val="000000"/>
                <w:kern w:val="0"/>
                <w:sz w:val="28"/>
                <w:szCs w:val="28"/>
                <w:u w:val="none"/>
              </w:rPr>
              <w:t>序号</w:t>
            </w:r>
          </w:p>
        </w:tc>
        <w:tc>
          <w:tcPr>
            <w:tcW w:w="963" w:type="dxa"/>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hint="eastAsia" w:ascii="华文仿宋" w:hAnsi="华文仿宋" w:eastAsia="宋体" w:cs="宋体"/>
                <w:b/>
                <w:bCs/>
                <w:color w:val="000000"/>
                <w:kern w:val="0"/>
                <w:sz w:val="28"/>
                <w:szCs w:val="28"/>
                <w:u w:val="none"/>
              </w:rPr>
              <w:t>项目</w:t>
            </w:r>
          </w:p>
        </w:tc>
        <w:tc>
          <w:tcPr>
            <w:tcW w:w="636" w:type="dxa"/>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hint="eastAsia" w:ascii="华文仿宋" w:hAnsi="华文仿宋" w:eastAsia="宋体" w:cs="宋体"/>
                <w:b/>
                <w:bCs/>
                <w:color w:val="000000"/>
                <w:kern w:val="0"/>
                <w:sz w:val="28"/>
                <w:szCs w:val="28"/>
                <w:u w:val="none"/>
              </w:rPr>
              <w:t>分值</w:t>
            </w:r>
          </w:p>
        </w:tc>
        <w:tc>
          <w:tcPr>
            <w:tcW w:w="7267" w:type="dxa"/>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hint="eastAsia" w:ascii="华文仿宋" w:hAnsi="华文仿宋" w:eastAsia="宋体" w:cs="宋体"/>
                <w:b/>
                <w:bCs/>
                <w:color w:val="000000"/>
                <w:kern w:val="0"/>
                <w:sz w:val="28"/>
                <w:szCs w:val="28"/>
                <w:u w:val="none"/>
              </w:rPr>
              <w:t>评分标准</w:t>
            </w:r>
          </w:p>
        </w:tc>
        <w:tc>
          <w:tcPr>
            <w:tcW w:w="567" w:type="dxa"/>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hint="eastAsia" w:ascii="华文仿宋" w:hAnsi="华文仿宋" w:eastAsia="宋体" w:cs="宋体"/>
                <w:color w:val="000000"/>
                <w:kern w:val="0"/>
                <w:sz w:val="28"/>
                <w:szCs w:val="28"/>
                <w:u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ascii="华文仿宋" w:hAnsi="华文仿宋" w:eastAsia="宋体" w:cs="宋体"/>
                <w:color w:val="000000"/>
                <w:kern w:val="0"/>
                <w:sz w:val="28"/>
                <w:szCs w:val="28"/>
                <w:u w:val="none"/>
              </w:rPr>
              <w:t>1</w:t>
            </w:r>
          </w:p>
        </w:tc>
        <w:tc>
          <w:tcPr>
            <w:tcW w:w="963" w:type="dxa"/>
            <w:vAlign w:val="center"/>
          </w:tcPr>
          <w:p>
            <w:pPr>
              <w:widowControl/>
              <w:spacing w:before="100" w:beforeAutospacing="1" w:after="100" w:afterAutospacing="1" w:line="240" w:lineRule="auto"/>
              <w:jc w:val="left"/>
              <w:textAlignment w:val="auto"/>
              <w:rPr>
                <w:rFonts w:ascii="华文仿宋" w:hAnsi="Calibri" w:eastAsia="华文仿宋" w:cs="宋体"/>
                <w:color w:val="000000"/>
                <w:kern w:val="0"/>
                <w:sz w:val="28"/>
                <w:szCs w:val="28"/>
                <w:u w:val="none"/>
              </w:rPr>
            </w:pPr>
            <w:r>
              <w:rPr>
                <w:rFonts w:hint="eastAsia" w:ascii="华文仿宋" w:hAnsi="华文仿宋" w:eastAsia="宋体" w:cs="宋体"/>
                <w:color w:val="000000"/>
                <w:kern w:val="0"/>
                <w:sz w:val="28"/>
                <w:szCs w:val="28"/>
                <w:u w:val="none"/>
              </w:rPr>
              <w:t>投标报价</w:t>
            </w:r>
          </w:p>
        </w:tc>
        <w:tc>
          <w:tcPr>
            <w:tcW w:w="636" w:type="dxa"/>
            <w:vAlign w:val="center"/>
          </w:tcPr>
          <w:p>
            <w:pPr>
              <w:widowControl/>
              <w:spacing w:before="100" w:beforeAutospacing="1" w:after="100" w:afterAutospacing="1" w:line="240" w:lineRule="auto"/>
              <w:jc w:val="center"/>
              <w:textAlignment w:val="auto"/>
              <w:rPr>
                <w:rFonts w:hint="default" w:ascii="华文仿宋" w:hAnsi="Calibri" w:eastAsia="宋体" w:cs="宋体"/>
                <w:color w:val="000000"/>
                <w:kern w:val="0"/>
                <w:sz w:val="28"/>
                <w:szCs w:val="28"/>
                <w:u w:val="none"/>
                <w:lang w:val="en-US" w:eastAsia="zh-CN"/>
              </w:rPr>
            </w:pPr>
            <w:r>
              <w:rPr>
                <w:rFonts w:hint="eastAsia" w:ascii="华文仿宋" w:hAnsi="Calibri" w:eastAsia="宋体" w:cs="宋体"/>
                <w:color w:val="000000"/>
                <w:kern w:val="0"/>
                <w:sz w:val="28"/>
                <w:szCs w:val="28"/>
                <w:u w:val="none"/>
                <w:lang w:val="en-US" w:eastAsia="zh-CN"/>
              </w:rPr>
              <w:t>60</w:t>
            </w:r>
          </w:p>
        </w:tc>
        <w:tc>
          <w:tcPr>
            <w:tcW w:w="7267" w:type="dxa"/>
            <w:vAlign w:val="center"/>
          </w:tcPr>
          <w:p>
            <w:pPr>
              <w:widowControl/>
              <w:spacing w:before="100" w:beforeAutospacing="1" w:after="100" w:afterAutospacing="1" w:line="240" w:lineRule="auto"/>
              <w:jc w:val="left"/>
              <w:textAlignment w:val="auto"/>
              <w:rPr>
                <w:rFonts w:ascii="华文仿宋" w:hAnsi="Calibri" w:eastAsia="华文仿宋" w:cs="宋体"/>
                <w:color w:val="000000"/>
                <w:kern w:val="0"/>
                <w:sz w:val="28"/>
                <w:szCs w:val="28"/>
                <w:u w:val="none"/>
              </w:rPr>
            </w:pPr>
            <w:r>
              <w:rPr>
                <w:rFonts w:hint="eastAsia" w:ascii="华文仿宋" w:hAnsi="华文仿宋" w:eastAsia="宋体" w:cs="宋体"/>
                <w:color w:val="000000"/>
                <w:kern w:val="0"/>
                <w:sz w:val="28"/>
                <w:szCs w:val="28"/>
                <w:u w:val="none"/>
              </w:rPr>
              <w:t>通过预审的低于或等于控制总价的为有效报价，通过资格审核的各投标人报价的最低有效报价为基准价，得分</w:t>
            </w:r>
            <w:r>
              <w:rPr>
                <w:rFonts w:hint="eastAsia" w:ascii="华文仿宋" w:hAnsi="华文仿宋" w:eastAsia="宋体" w:cs="宋体"/>
                <w:color w:val="000000"/>
                <w:kern w:val="0"/>
                <w:sz w:val="28"/>
                <w:szCs w:val="28"/>
                <w:u w:val="none"/>
                <w:lang w:val="en-US" w:eastAsia="zh-CN"/>
              </w:rPr>
              <w:t>60</w:t>
            </w:r>
            <w:r>
              <w:rPr>
                <w:rFonts w:hint="eastAsia" w:ascii="华文仿宋" w:hAnsi="华文仿宋" w:eastAsia="宋体" w:cs="宋体"/>
                <w:color w:val="000000"/>
                <w:kern w:val="0"/>
                <w:sz w:val="28"/>
                <w:szCs w:val="28"/>
                <w:u w:val="none"/>
              </w:rPr>
              <w:t>分。其他投标人的价格得分为：基准价</w:t>
            </w:r>
            <w:r>
              <w:rPr>
                <w:rFonts w:ascii="华文仿宋" w:hAnsi="华文仿宋" w:eastAsia="宋体" w:cs="宋体"/>
                <w:color w:val="000000"/>
                <w:kern w:val="0"/>
                <w:sz w:val="28"/>
                <w:szCs w:val="28"/>
                <w:u w:val="none"/>
              </w:rPr>
              <w:t>/</w:t>
            </w:r>
            <w:r>
              <w:rPr>
                <w:rFonts w:hint="eastAsia" w:ascii="华文仿宋" w:hAnsi="华文仿宋" w:eastAsia="宋体" w:cs="宋体"/>
                <w:color w:val="000000"/>
                <w:kern w:val="0"/>
                <w:sz w:val="28"/>
                <w:szCs w:val="28"/>
                <w:u w:val="none"/>
              </w:rPr>
              <w:t>投标报价×</w:t>
            </w:r>
            <w:r>
              <w:rPr>
                <w:rFonts w:hint="eastAsia" w:ascii="华文仿宋" w:hAnsi="华文仿宋" w:eastAsia="宋体" w:cs="宋体"/>
                <w:color w:val="000000"/>
                <w:kern w:val="0"/>
                <w:sz w:val="28"/>
                <w:szCs w:val="28"/>
                <w:u w:val="none"/>
                <w:lang w:val="en-US" w:eastAsia="zh-CN"/>
              </w:rPr>
              <w:t>60</w:t>
            </w:r>
            <w:r>
              <w:rPr>
                <w:rFonts w:hint="eastAsia" w:ascii="华文仿宋" w:hAnsi="华文仿宋" w:eastAsia="宋体" w:cs="宋体"/>
                <w:color w:val="000000"/>
                <w:kern w:val="0"/>
                <w:sz w:val="28"/>
                <w:szCs w:val="28"/>
                <w:u w:val="none"/>
              </w:rPr>
              <w:t>（本项最高分</w:t>
            </w:r>
            <w:r>
              <w:rPr>
                <w:rFonts w:hint="eastAsia" w:ascii="华文仿宋" w:hAnsi="华文仿宋" w:eastAsia="宋体" w:cs="宋体"/>
                <w:color w:val="000000"/>
                <w:kern w:val="0"/>
                <w:sz w:val="28"/>
                <w:szCs w:val="28"/>
                <w:u w:val="none"/>
                <w:lang w:val="en-US" w:eastAsia="zh-CN"/>
              </w:rPr>
              <w:t>60</w:t>
            </w:r>
            <w:r>
              <w:rPr>
                <w:rFonts w:hint="eastAsia" w:ascii="华文仿宋" w:hAnsi="华文仿宋" w:eastAsia="宋体" w:cs="宋体"/>
                <w:color w:val="000000"/>
                <w:kern w:val="0"/>
                <w:sz w:val="28"/>
                <w:szCs w:val="28"/>
                <w:u w:val="none"/>
              </w:rPr>
              <w:t>分）</w:t>
            </w:r>
          </w:p>
        </w:tc>
        <w:tc>
          <w:tcPr>
            <w:tcW w:w="567" w:type="dxa"/>
            <w:vAlign w:val="center"/>
          </w:tcPr>
          <w:p>
            <w:pPr>
              <w:widowControl/>
              <w:spacing w:before="100" w:beforeAutospacing="1" w:after="100" w:afterAutospacing="1" w:line="240" w:lineRule="auto"/>
              <w:jc w:val="left"/>
              <w:textAlignment w:val="auto"/>
              <w:rPr>
                <w:rFonts w:ascii="华文仿宋" w:hAnsi="Calibri" w:eastAsia="华文仿宋" w:cs="宋体"/>
                <w:color w:val="000000"/>
                <w:kern w:val="0"/>
                <w:sz w:val="28"/>
                <w:szCs w:val="28"/>
                <w:u w:val="none"/>
              </w:rPr>
            </w:pPr>
            <w:r>
              <w:rPr>
                <w:rFonts w:ascii="华文仿宋" w:hAnsi="Calibri" w:eastAsia="华文仿宋" w:cs="宋体"/>
                <w:color w:val="000000"/>
                <w:kern w:val="0"/>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7" w:hRule="atLeast"/>
        </w:trPr>
        <w:tc>
          <w:tcPr>
            <w:tcW w:w="530" w:type="dxa"/>
            <w:vAlign w:val="center"/>
          </w:tcPr>
          <w:p>
            <w:pPr>
              <w:widowControl/>
              <w:spacing w:before="100" w:beforeAutospacing="1" w:after="100" w:afterAutospacing="1" w:line="240" w:lineRule="auto"/>
              <w:jc w:val="center"/>
              <w:textAlignment w:val="auto"/>
              <w:rPr>
                <w:rFonts w:hint="default" w:ascii="华文仿宋" w:hAnsi="华文仿宋" w:eastAsia="宋体" w:cs="宋体"/>
                <w:color w:val="000000"/>
                <w:kern w:val="0"/>
                <w:sz w:val="28"/>
                <w:szCs w:val="28"/>
                <w:u w:val="none" w:color="000000"/>
                <w:lang w:val="en-US" w:eastAsia="zh-CN" w:bidi="ar-SA"/>
              </w:rPr>
            </w:pPr>
            <w:r>
              <w:rPr>
                <w:rFonts w:hint="eastAsia" w:ascii="华文仿宋" w:hAnsi="华文仿宋" w:cs="宋体"/>
                <w:color w:val="000000"/>
                <w:kern w:val="0"/>
                <w:sz w:val="28"/>
                <w:szCs w:val="28"/>
                <w:u w:val="none" w:color="000000"/>
                <w:lang w:val="en-US" w:eastAsia="zh-CN" w:bidi="ar-SA"/>
              </w:rPr>
              <w:t>2</w:t>
            </w:r>
          </w:p>
        </w:tc>
        <w:tc>
          <w:tcPr>
            <w:tcW w:w="963" w:type="dxa"/>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color="000000"/>
                <w:lang w:val="en-US" w:eastAsia="zh-CN" w:bidi="ar-SA"/>
              </w:rPr>
            </w:pPr>
            <w:r>
              <w:rPr>
                <w:rFonts w:hint="eastAsia" w:ascii="华文仿宋" w:hAnsi="华文仿宋" w:cs="宋体"/>
                <w:color w:val="000000"/>
                <w:kern w:val="0"/>
                <w:sz w:val="28"/>
                <w:szCs w:val="28"/>
                <w:u w:val="none"/>
                <w:lang w:val="en-US" w:eastAsia="zh-CN"/>
              </w:rPr>
              <w:t>综合实力</w:t>
            </w:r>
          </w:p>
        </w:tc>
        <w:tc>
          <w:tcPr>
            <w:tcW w:w="636" w:type="dxa"/>
            <w:vAlign w:val="center"/>
          </w:tcPr>
          <w:p>
            <w:pPr>
              <w:widowControl/>
              <w:spacing w:before="100" w:beforeAutospacing="1" w:after="100" w:afterAutospacing="1" w:line="240" w:lineRule="auto"/>
              <w:jc w:val="center"/>
              <w:textAlignment w:val="auto"/>
              <w:rPr>
                <w:rFonts w:hint="default" w:ascii="华文仿宋" w:hAnsi="华文仿宋" w:eastAsia="宋体" w:cs="宋体"/>
                <w:color w:val="000000"/>
                <w:kern w:val="0"/>
                <w:sz w:val="28"/>
                <w:szCs w:val="28"/>
                <w:u w:val="none" w:color="000000"/>
                <w:lang w:val="en-US" w:eastAsia="zh-CN" w:bidi="ar-SA"/>
              </w:rPr>
            </w:pPr>
            <w:r>
              <w:rPr>
                <w:rFonts w:hint="eastAsia" w:ascii="华文仿宋" w:hAnsi="华文仿宋" w:cs="宋体"/>
                <w:color w:val="000000"/>
                <w:kern w:val="0"/>
                <w:sz w:val="28"/>
                <w:szCs w:val="28"/>
                <w:u w:val="none" w:color="000000"/>
                <w:lang w:val="en-US" w:eastAsia="zh-CN" w:bidi="ar-SA"/>
              </w:rPr>
              <w:t>10</w:t>
            </w:r>
          </w:p>
        </w:tc>
        <w:tc>
          <w:tcPr>
            <w:tcW w:w="7267" w:type="dxa"/>
            <w:vAlign w:val="top"/>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lang w:eastAsia="zh-CN"/>
              </w:rPr>
            </w:pPr>
            <w:r>
              <w:rPr>
                <w:rFonts w:hint="eastAsia" w:ascii="华文仿宋" w:hAnsi="华文仿宋" w:eastAsia="宋体" w:cs="宋体"/>
                <w:color w:val="000000"/>
                <w:kern w:val="0"/>
                <w:sz w:val="28"/>
                <w:szCs w:val="28"/>
                <w:u w:val="none"/>
                <w:lang w:eastAsia="zh-CN"/>
              </w:rPr>
              <w:t xml:space="preserve">注册资本：（实缴）100万及以上，得 </w:t>
            </w:r>
            <w:r>
              <w:rPr>
                <w:rFonts w:hint="eastAsia" w:ascii="华文仿宋" w:hAnsi="华文仿宋" w:cs="宋体"/>
                <w:color w:val="000000"/>
                <w:kern w:val="0"/>
                <w:sz w:val="28"/>
                <w:szCs w:val="28"/>
                <w:u w:val="none"/>
                <w:lang w:val="en-US" w:eastAsia="zh-CN"/>
              </w:rPr>
              <w:t>2</w:t>
            </w:r>
            <w:r>
              <w:rPr>
                <w:rFonts w:hint="eastAsia" w:ascii="华文仿宋" w:hAnsi="华文仿宋" w:eastAsia="宋体" w:cs="宋体"/>
                <w:color w:val="000000"/>
                <w:kern w:val="0"/>
                <w:sz w:val="28"/>
                <w:szCs w:val="28"/>
                <w:u w:val="none"/>
                <w:lang w:eastAsia="zh-CN"/>
              </w:rPr>
              <w:t>分；100万元以下得</w:t>
            </w:r>
            <w:r>
              <w:rPr>
                <w:rFonts w:hint="eastAsia" w:ascii="华文仿宋" w:hAnsi="华文仿宋" w:cs="宋体"/>
                <w:color w:val="000000"/>
                <w:kern w:val="0"/>
                <w:sz w:val="28"/>
                <w:szCs w:val="28"/>
                <w:u w:val="none"/>
                <w:lang w:val="en-US" w:eastAsia="zh-CN"/>
              </w:rPr>
              <w:t>1</w:t>
            </w:r>
            <w:r>
              <w:rPr>
                <w:rFonts w:hint="eastAsia" w:ascii="华文仿宋" w:hAnsi="华文仿宋" w:eastAsia="宋体" w:cs="宋体"/>
                <w:color w:val="000000"/>
                <w:kern w:val="0"/>
                <w:sz w:val="28"/>
                <w:szCs w:val="28"/>
                <w:u w:val="none"/>
                <w:lang w:eastAsia="zh-CN"/>
              </w:rPr>
              <w:t>分。</w:t>
            </w:r>
            <w:r>
              <w:rPr>
                <w:rFonts w:hint="eastAsia" w:ascii="华文仿宋" w:hAnsi="华文仿宋" w:cs="宋体"/>
                <w:color w:val="000000"/>
                <w:kern w:val="0"/>
                <w:sz w:val="28"/>
                <w:szCs w:val="28"/>
                <w:u w:val="none"/>
                <w:lang w:val="en-US" w:eastAsia="zh-CN"/>
              </w:rPr>
              <w:t>本小项最高2分。</w:t>
            </w:r>
          </w:p>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rPr>
            </w:pPr>
            <w:r>
              <w:rPr>
                <w:rFonts w:hint="eastAsia" w:ascii="华文仿宋" w:hAnsi="华文仿宋" w:eastAsia="宋体" w:cs="宋体"/>
                <w:color w:val="000000"/>
                <w:kern w:val="0"/>
                <w:sz w:val="28"/>
                <w:szCs w:val="28"/>
                <w:u w:val="none"/>
                <w:lang w:eastAsia="zh-CN"/>
              </w:rPr>
              <w:t>业绩：</w:t>
            </w:r>
            <w:r>
              <w:rPr>
                <w:rFonts w:hint="eastAsia" w:ascii="华文仿宋" w:hAnsi="华文仿宋" w:eastAsia="宋体" w:cs="宋体"/>
                <w:color w:val="000000"/>
                <w:kern w:val="0"/>
                <w:sz w:val="28"/>
                <w:szCs w:val="28"/>
                <w:u w:val="none"/>
              </w:rPr>
              <w:t>201</w:t>
            </w:r>
            <w:r>
              <w:rPr>
                <w:rFonts w:hint="eastAsia" w:ascii="华文仿宋" w:hAnsi="华文仿宋" w:cs="宋体"/>
                <w:color w:val="000000"/>
                <w:kern w:val="0"/>
                <w:sz w:val="28"/>
                <w:szCs w:val="28"/>
                <w:u w:val="none"/>
                <w:lang w:val="en-US" w:eastAsia="zh-CN"/>
              </w:rPr>
              <w:t>9</w:t>
            </w:r>
            <w:r>
              <w:rPr>
                <w:rFonts w:hint="eastAsia" w:ascii="华文仿宋" w:hAnsi="华文仿宋" w:eastAsia="宋体" w:cs="宋体"/>
                <w:color w:val="000000"/>
                <w:kern w:val="0"/>
                <w:sz w:val="28"/>
                <w:szCs w:val="28"/>
                <w:u w:val="none"/>
              </w:rPr>
              <w:t>年</w:t>
            </w:r>
            <w:r>
              <w:rPr>
                <w:rFonts w:hint="eastAsia" w:ascii="华文仿宋" w:hAnsi="华文仿宋" w:eastAsia="宋体" w:cs="宋体"/>
                <w:color w:val="000000"/>
                <w:kern w:val="0"/>
                <w:sz w:val="28"/>
                <w:szCs w:val="28"/>
                <w:u w:val="none"/>
                <w:lang w:val="en-US" w:eastAsia="zh-CN"/>
              </w:rPr>
              <w:t>1</w:t>
            </w:r>
            <w:r>
              <w:rPr>
                <w:rFonts w:hint="eastAsia" w:ascii="华文仿宋" w:hAnsi="华文仿宋" w:eastAsia="宋体" w:cs="宋体"/>
                <w:color w:val="000000"/>
                <w:kern w:val="0"/>
                <w:sz w:val="28"/>
                <w:szCs w:val="28"/>
                <w:u w:val="none"/>
              </w:rPr>
              <w:t>月1日以来</w:t>
            </w:r>
            <w:r>
              <w:rPr>
                <w:rFonts w:hint="eastAsia" w:ascii="华文仿宋" w:hAnsi="华文仿宋" w:cs="宋体"/>
                <w:color w:val="000000"/>
                <w:kern w:val="0"/>
                <w:sz w:val="28"/>
                <w:szCs w:val="28"/>
                <w:u w:val="none"/>
                <w:lang w:eastAsia="zh-CN"/>
              </w:rPr>
              <w:t>业绩</w:t>
            </w:r>
            <w:r>
              <w:rPr>
                <w:rFonts w:hint="eastAsia" w:ascii="华文仿宋" w:hAnsi="华文仿宋" w:eastAsia="宋体" w:cs="宋体"/>
                <w:color w:val="000000"/>
                <w:kern w:val="0"/>
                <w:sz w:val="28"/>
                <w:szCs w:val="28"/>
                <w:u w:val="none"/>
              </w:rPr>
              <w:t>，每提供一份得1分，</w:t>
            </w:r>
            <w:r>
              <w:rPr>
                <w:rFonts w:hint="eastAsia" w:ascii="华文仿宋" w:hAnsi="华文仿宋" w:cs="宋体"/>
                <w:color w:val="000000"/>
                <w:kern w:val="0"/>
                <w:sz w:val="28"/>
                <w:szCs w:val="28"/>
                <w:u w:val="none"/>
                <w:lang w:val="en-US" w:eastAsia="zh-CN"/>
              </w:rPr>
              <w:t>本小项</w:t>
            </w:r>
            <w:r>
              <w:rPr>
                <w:rFonts w:hint="eastAsia" w:ascii="华文仿宋" w:hAnsi="华文仿宋" w:eastAsia="宋体" w:cs="宋体"/>
                <w:color w:val="000000"/>
                <w:kern w:val="0"/>
                <w:sz w:val="28"/>
                <w:szCs w:val="28"/>
                <w:u w:val="none"/>
              </w:rPr>
              <w:t>最高</w:t>
            </w:r>
            <w:r>
              <w:rPr>
                <w:rFonts w:hint="eastAsia" w:ascii="华文仿宋" w:hAnsi="华文仿宋" w:cs="宋体"/>
                <w:color w:val="000000"/>
                <w:kern w:val="0"/>
                <w:sz w:val="28"/>
                <w:szCs w:val="28"/>
                <w:u w:val="none"/>
                <w:lang w:val="en-US" w:eastAsia="zh-CN"/>
              </w:rPr>
              <w:t>3</w:t>
            </w:r>
            <w:r>
              <w:rPr>
                <w:rFonts w:hint="eastAsia" w:ascii="华文仿宋" w:hAnsi="华文仿宋" w:eastAsia="宋体" w:cs="宋体"/>
                <w:color w:val="000000"/>
                <w:kern w:val="0"/>
                <w:sz w:val="28"/>
                <w:szCs w:val="28"/>
                <w:u w:val="none"/>
              </w:rPr>
              <w:t>分。</w:t>
            </w:r>
          </w:p>
          <w:p>
            <w:pPr>
              <w:widowControl/>
              <w:spacing w:before="100" w:beforeAutospacing="1" w:after="100" w:afterAutospacing="1" w:line="240" w:lineRule="auto"/>
              <w:jc w:val="left"/>
              <w:textAlignment w:val="auto"/>
              <w:rPr>
                <w:rFonts w:hint="default" w:ascii="华文仿宋" w:hAnsi="华文仿宋" w:eastAsia="宋体" w:cs="宋体"/>
                <w:color w:val="000000"/>
                <w:kern w:val="0"/>
                <w:sz w:val="28"/>
                <w:szCs w:val="28"/>
                <w:u w:val="none" w:color="000000"/>
                <w:lang w:val="en-US" w:eastAsia="zh-CN" w:bidi="ar-SA"/>
              </w:rPr>
            </w:pPr>
            <w:r>
              <w:rPr>
                <w:rFonts w:hint="eastAsia" w:ascii="华文仿宋" w:hAnsi="华文仿宋" w:cs="宋体"/>
                <w:color w:val="000000"/>
                <w:kern w:val="0"/>
                <w:sz w:val="28"/>
                <w:szCs w:val="28"/>
                <w:u w:val="none"/>
                <w:lang w:eastAsia="zh-CN"/>
              </w:rPr>
              <w:t>专业技术人员</w:t>
            </w:r>
            <w:r>
              <w:rPr>
                <w:rFonts w:hint="eastAsia" w:ascii="华文仿宋" w:hAnsi="华文仿宋" w:cs="宋体"/>
                <w:color w:val="000000"/>
                <w:kern w:val="0"/>
                <w:sz w:val="28"/>
                <w:szCs w:val="28"/>
                <w:u w:val="none"/>
                <w:lang w:val="en-US" w:eastAsia="zh-CN"/>
              </w:rPr>
              <w:t>:提供专业工程师1人得3分，专业技术人员一人得2分。本小项最高5分。</w:t>
            </w:r>
          </w:p>
        </w:tc>
        <w:tc>
          <w:tcPr>
            <w:tcW w:w="567" w:type="dxa"/>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color="000000"/>
                <w:lang w:val="en-US" w:eastAsia="zh-CN" w:bidi="ar-SA"/>
              </w:rPr>
            </w:pPr>
            <w:r>
              <w:rPr>
                <w:rFonts w:hint="eastAsia" w:ascii="华文仿宋" w:hAnsi="华文仿宋" w:eastAsia="宋体" w:cs="宋体"/>
                <w:color w:val="000000"/>
                <w:kern w:val="0"/>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530" w:type="dxa"/>
            <w:vAlign w:val="center"/>
          </w:tcPr>
          <w:p>
            <w:pPr>
              <w:widowControl/>
              <w:spacing w:before="100" w:beforeAutospacing="1" w:after="100" w:afterAutospacing="1" w:line="240" w:lineRule="auto"/>
              <w:jc w:val="center"/>
              <w:textAlignment w:val="auto"/>
              <w:rPr>
                <w:rFonts w:hint="default" w:ascii="华文仿宋" w:hAnsi="华文仿宋" w:eastAsia="宋体" w:cs="宋体"/>
                <w:color w:val="000000"/>
                <w:kern w:val="0"/>
                <w:sz w:val="28"/>
                <w:szCs w:val="28"/>
                <w:u w:val="none"/>
                <w:lang w:val="en-US" w:eastAsia="zh-CN"/>
              </w:rPr>
            </w:pPr>
            <w:r>
              <w:rPr>
                <w:rFonts w:hint="eastAsia" w:ascii="华文仿宋" w:hAnsi="华文仿宋" w:cs="宋体"/>
                <w:color w:val="000000"/>
                <w:kern w:val="0"/>
                <w:sz w:val="28"/>
                <w:szCs w:val="28"/>
                <w:u w:val="none"/>
                <w:lang w:val="en-US" w:eastAsia="zh-CN"/>
              </w:rPr>
              <w:t>3</w:t>
            </w:r>
          </w:p>
        </w:tc>
        <w:tc>
          <w:tcPr>
            <w:tcW w:w="963" w:type="dxa"/>
            <w:vAlign w:val="center"/>
          </w:tcPr>
          <w:p>
            <w:pPr>
              <w:widowControl/>
              <w:spacing w:before="100" w:beforeAutospacing="1" w:after="100" w:afterAutospacing="1" w:line="240" w:lineRule="auto"/>
              <w:jc w:val="left"/>
              <w:textAlignment w:val="auto"/>
              <w:rPr>
                <w:rFonts w:ascii="华文仿宋" w:hAnsi="Calibri" w:eastAsia="宋体" w:cs="宋体"/>
                <w:color w:val="000000"/>
                <w:kern w:val="0"/>
                <w:sz w:val="28"/>
                <w:szCs w:val="28"/>
                <w:u w:val="none"/>
              </w:rPr>
            </w:pPr>
            <w:r>
              <w:rPr>
                <w:rFonts w:hint="eastAsia" w:ascii="华文仿宋" w:hAnsi="华文仿宋" w:eastAsia="宋体" w:cs="宋体"/>
                <w:color w:val="000000"/>
                <w:kern w:val="0"/>
                <w:sz w:val="28"/>
                <w:szCs w:val="28"/>
                <w:u w:val="none"/>
              </w:rPr>
              <w:t>质保期间承诺</w:t>
            </w:r>
          </w:p>
        </w:tc>
        <w:tc>
          <w:tcPr>
            <w:tcW w:w="636" w:type="dxa"/>
            <w:vAlign w:val="center"/>
          </w:tcPr>
          <w:p>
            <w:pPr>
              <w:widowControl/>
              <w:spacing w:before="100" w:beforeAutospacing="1" w:after="100" w:afterAutospacing="1" w:line="240" w:lineRule="auto"/>
              <w:jc w:val="center"/>
              <w:textAlignment w:val="auto"/>
              <w:rPr>
                <w:rFonts w:hint="default" w:ascii="华文仿宋" w:hAnsi="Calibri" w:eastAsia="华文仿宋" w:cs="宋体"/>
                <w:color w:val="000000" w:themeColor="text1"/>
                <w:kern w:val="0"/>
                <w:sz w:val="28"/>
                <w:szCs w:val="28"/>
                <w:u w:val="none"/>
                <w:lang w:val="en-US" w:eastAsia="zh-CN"/>
                <w14:textFill>
                  <w14:solidFill>
                    <w14:schemeClr w14:val="tx1"/>
                  </w14:solidFill>
                </w14:textFill>
              </w:rPr>
            </w:pPr>
            <w:r>
              <w:rPr>
                <w:rFonts w:hint="eastAsia" w:ascii="华文仿宋" w:hAnsi="Calibri" w:eastAsia="华文仿宋" w:cs="宋体"/>
                <w:color w:val="000000" w:themeColor="text1"/>
                <w:kern w:val="0"/>
                <w:sz w:val="28"/>
                <w:szCs w:val="28"/>
                <w:u w:val="none"/>
                <w:lang w:val="en-US" w:eastAsia="zh-CN"/>
                <w14:textFill>
                  <w14:solidFill>
                    <w14:schemeClr w14:val="tx1"/>
                  </w14:solidFill>
                </w14:textFill>
              </w:rPr>
              <w:t>20</w:t>
            </w:r>
          </w:p>
        </w:tc>
        <w:tc>
          <w:tcPr>
            <w:tcW w:w="7267" w:type="dxa"/>
            <w:vAlign w:val="center"/>
          </w:tcPr>
          <w:p>
            <w:pPr>
              <w:widowControl/>
              <w:spacing w:before="100" w:beforeAutospacing="1" w:after="100" w:afterAutospacing="1" w:line="240" w:lineRule="auto"/>
              <w:jc w:val="left"/>
              <w:textAlignment w:val="auto"/>
              <w:rPr>
                <w:rFonts w:hint="default" w:ascii="华文仿宋" w:hAnsi="华文仿宋" w:cs="宋体"/>
                <w:color w:val="000000" w:themeColor="text1"/>
                <w:kern w:val="0"/>
                <w:sz w:val="28"/>
                <w:szCs w:val="28"/>
                <w:u w:val="none"/>
                <w:lang w:val="en-US" w:eastAsia="zh-CN"/>
                <w14:textFill>
                  <w14:solidFill>
                    <w14:schemeClr w14:val="tx1"/>
                  </w14:solidFill>
                </w14:textFill>
              </w:rPr>
            </w:pPr>
            <w:r>
              <w:rPr>
                <w:rFonts w:hint="eastAsia" w:ascii="华文仿宋" w:hAnsi="华文仿宋" w:cs="宋体"/>
                <w:color w:val="000000" w:themeColor="text1"/>
                <w:kern w:val="0"/>
                <w:sz w:val="28"/>
                <w:szCs w:val="28"/>
                <w:u w:val="none"/>
                <w:lang w:eastAsia="zh-CN"/>
                <w14:textFill>
                  <w14:solidFill>
                    <w14:schemeClr w14:val="tx1"/>
                  </w14:solidFill>
                </w14:textFill>
              </w:rPr>
              <w:t>质保</w:t>
            </w:r>
            <w:r>
              <w:rPr>
                <w:rFonts w:hint="eastAsia" w:ascii="华文仿宋" w:hAnsi="华文仿宋" w:eastAsia="宋体" w:cs="宋体"/>
                <w:color w:val="000000" w:themeColor="text1"/>
                <w:kern w:val="0"/>
                <w:sz w:val="28"/>
                <w:szCs w:val="28"/>
                <w:u w:val="none"/>
                <w14:textFill>
                  <w14:solidFill>
                    <w14:schemeClr w14:val="tx1"/>
                  </w14:solidFill>
                </w14:textFill>
              </w:rPr>
              <w:t>承诺：</w:t>
            </w:r>
            <w:r>
              <w:rPr>
                <w:rFonts w:hint="eastAsia" w:ascii="华文仿宋" w:hAnsi="华文仿宋" w:cs="宋体"/>
                <w:color w:val="000000" w:themeColor="text1"/>
                <w:kern w:val="0"/>
                <w:sz w:val="28"/>
                <w:szCs w:val="28"/>
                <w:u w:val="none"/>
                <w:lang w:eastAsia="zh-CN"/>
                <w14:textFill>
                  <w14:solidFill>
                    <w14:schemeClr w14:val="tx1"/>
                  </w14:solidFill>
                </w14:textFill>
              </w:rPr>
              <w:t>质保</w:t>
            </w:r>
            <w:r>
              <w:rPr>
                <w:rFonts w:hint="eastAsia" w:ascii="华文仿宋" w:hAnsi="华文仿宋" w:cs="宋体"/>
                <w:color w:val="000000" w:themeColor="text1"/>
                <w:kern w:val="0"/>
                <w:sz w:val="28"/>
                <w:szCs w:val="28"/>
                <w:u w:val="none"/>
                <w:lang w:val="en-US" w:eastAsia="zh-CN"/>
                <w14:textFill>
                  <w14:solidFill>
                    <w14:schemeClr w14:val="tx1"/>
                  </w14:solidFill>
                </w14:textFill>
              </w:rPr>
              <w:t>1</w:t>
            </w:r>
            <w:r>
              <w:rPr>
                <w:rFonts w:hint="eastAsia" w:ascii="华文仿宋" w:hAnsi="华文仿宋" w:cs="宋体"/>
                <w:color w:val="000000" w:themeColor="text1"/>
                <w:kern w:val="0"/>
                <w:sz w:val="28"/>
                <w:szCs w:val="28"/>
                <w:u w:val="none"/>
                <w:lang w:eastAsia="zh-CN"/>
                <w14:textFill>
                  <w14:solidFill>
                    <w14:schemeClr w14:val="tx1"/>
                  </w14:solidFill>
                </w14:textFill>
              </w:rPr>
              <w:t>年得</w:t>
            </w:r>
            <w:r>
              <w:rPr>
                <w:rFonts w:hint="eastAsia" w:ascii="华文仿宋" w:hAnsi="华文仿宋" w:cs="宋体"/>
                <w:color w:val="000000" w:themeColor="text1"/>
                <w:kern w:val="0"/>
                <w:sz w:val="28"/>
                <w:szCs w:val="28"/>
                <w:u w:val="none"/>
                <w:lang w:val="en-US" w:eastAsia="zh-CN"/>
                <w14:textFill>
                  <w14:solidFill>
                    <w14:schemeClr w14:val="tx1"/>
                  </w14:solidFill>
                </w14:textFill>
              </w:rPr>
              <w:t>5分，2年得10分，3年得20分，低于一年不得分。本小项最高20分。</w:t>
            </w:r>
          </w:p>
        </w:tc>
        <w:tc>
          <w:tcPr>
            <w:tcW w:w="567" w:type="dxa"/>
            <w:vAlign w:val="center"/>
          </w:tcPr>
          <w:p>
            <w:pPr>
              <w:widowControl/>
              <w:spacing w:before="100" w:beforeAutospacing="1" w:after="100" w:afterAutospacing="1" w:line="240" w:lineRule="auto"/>
              <w:jc w:val="left"/>
              <w:textAlignment w:val="auto"/>
              <w:rPr>
                <w:rFonts w:ascii="华文仿宋" w:hAnsi="Calibri" w:eastAsia="华文仿宋" w:cs="宋体"/>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530" w:type="dxa"/>
            <w:vAlign w:val="center"/>
          </w:tcPr>
          <w:p>
            <w:pPr>
              <w:widowControl/>
              <w:spacing w:before="100" w:beforeAutospacing="1" w:after="100" w:afterAutospacing="1" w:line="240" w:lineRule="auto"/>
              <w:jc w:val="center"/>
              <w:textAlignment w:val="auto"/>
              <w:rPr>
                <w:rFonts w:hint="default" w:ascii="华文仿宋" w:hAnsi="华文仿宋" w:eastAsia="宋体" w:cs="宋体"/>
                <w:color w:val="000000"/>
                <w:kern w:val="0"/>
                <w:sz w:val="28"/>
                <w:szCs w:val="28"/>
                <w:u w:val="none"/>
                <w:lang w:val="en-US" w:eastAsia="zh-CN"/>
              </w:rPr>
            </w:pPr>
            <w:r>
              <w:rPr>
                <w:rFonts w:hint="eastAsia" w:ascii="华文仿宋" w:hAnsi="华文仿宋" w:cs="宋体"/>
                <w:color w:val="000000"/>
                <w:kern w:val="0"/>
                <w:sz w:val="28"/>
                <w:szCs w:val="28"/>
                <w:u w:val="none"/>
                <w:lang w:val="en-US" w:eastAsia="zh-CN"/>
              </w:rPr>
              <w:t>4</w:t>
            </w:r>
          </w:p>
        </w:tc>
        <w:tc>
          <w:tcPr>
            <w:tcW w:w="963" w:type="dxa"/>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lang w:val="en-US" w:eastAsia="zh-CN"/>
              </w:rPr>
            </w:pPr>
            <w:r>
              <w:rPr>
                <w:rFonts w:hint="eastAsia" w:ascii="华文仿宋" w:hAnsi="华文仿宋" w:eastAsia="宋体" w:cs="宋体"/>
                <w:color w:val="000000"/>
                <w:kern w:val="0"/>
                <w:sz w:val="28"/>
                <w:szCs w:val="28"/>
                <w:u w:val="none"/>
                <w:lang w:val="en-US" w:eastAsia="zh-CN"/>
              </w:rPr>
              <w:t>售后响应</w:t>
            </w:r>
          </w:p>
        </w:tc>
        <w:tc>
          <w:tcPr>
            <w:tcW w:w="636" w:type="dxa"/>
            <w:vAlign w:val="center"/>
          </w:tcPr>
          <w:p>
            <w:pPr>
              <w:widowControl/>
              <w:spacing w:before="100" w:beforeAutospacing="1" w:after="100" w:afterAutospacing="1" w:line="240" w:lineRule="auto"/>
              <w:jc w:val="center"/>
              <w:textAlignment w:val="auto"/>
              <w:rPr>
                <w:rFonts w:hint="default" w:ascii="华文仿宋" w:hAnsi="华文仿宋" w:eastAsia="宋体" w:cs="宋体"/>
                <w:color w:val="000000"/>
                <w:kern w:val="0"/>
                <w:sz w:val="28"/>
                <w:szCs w:val="28"/>
                <w:u w:val="none"/>
                <w:lang w:val="en-US" w:eastAsia="zh-CN"/>
              </w:rPr>
            </w:pPr>
            <w:r>
              <w:rPr>
                <w:rFonts w:hint="eastAsia" w:ascii="华文仿宋" w:hAnsi="华文仿宋" w:cs="宋体"/>
                <w:color w:val="000000"/>
                <w:kern w:val="0"/>
                <w:sz w:val="28"/>
                <w:szCs w:val="28"/>
                <w:u w:val="none"/>
                <w:lang w:val="en-US" w:eastAsia="zh-CN"/>
              </w:rPr>
              <w:t>6</w:t>
            </w:r>
          </w:p>
        </w:tc>
        <w:tc>
          <w:tcPr>
            <w:tcW w:w="7267" w:type="dxa"/>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lang w:val="en-US" w:eastAsia="zh-CN"/>
              </w:rPr>
            </w:pPr>
            <w:r>
              <w:rPr>
                <w:rFonts w:hint="eastAsia" w:ascii="华文仿宋" w:hAnsi="华文仿宋" w:eastAsia="宋体" w:cs="宋体"/>
                <w:color w:val="000000"/>
                <w:kern w:val="0"/>
                <w:sz w:val="28"/>
                <w:szCs w:val="28"/>
                <w:u w:val="none"/>
              </w:rPr>
              <w:t>承诺维修人员2小时响应得1分，24小时内到达</w:t>
            </w:r>
            <w:r>
              <w:rPr>
                <w:rFonts w:hint="eastAsia" w:ascii="华文仿宋" w:hAnsi="华文仿宋" w:cs="宋体"/>
                <w:color w:val="000000"/>
                <w:kern w:val="0"/>
                <w:sz w:val="28"/>
                <w:szCs w:val="28"/>
                <w:u w:val="none"/>
                <w:lang w:eastAsia="zh-CN"/>
              </w:rPr>
              <w:t>现场</w:t>
            </w:r>
            <w:r>
              <w:rPr>
                <w:rFonts w:hint="eastAsia" w:ascii="华文仿宋" w:hAnsi="华文仿宋" w:eastAsia="宋体" w:cs="宋体"/>
                <w:color w:val="000000"/>
                <w:kern w:val="0"/>
                <w:sz w:val="28"/>
                <w:szCs w:val="28"/>
                <w:u w:val="none"/>
              </w:rPr>
              <w:t>得2分，48小时修复得3分。</w:t>
            </w:r>
          </w:p>
        </w:tc>
        <w:tc>
          <w:tcPr>
            <w:tcW w:w="567" w:type="dxa"/>
            <w:vAlign w:val="top"/>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530" w:type="dxa"/>
            <w:vAlign w:val="center"/>
          </w:tcPr>
          <w:p>
            <w:pPr>
              <w:widowControl/>
              <w:spacing w:before="100" w:beforeAutospacing="1" w:after="100" w:afterAutospacing="1" w:line="240" w:lineRule="auto"/>
              <w:jc w:val="center"/>
              <w:textAlignment w:val="auto"/>
              <w:rPr>
                <w:rFonts w:hint="default" w:ascii="华文仿宋" w:hAnsi="华文仿宋" w:eastAsia="宋体" w:cs="宋体"/>
                <w:color w:val="000000"/>
                <w:kern w:val="0"/>
                <w:sz w:val="28"/>
                <w:szCs w:val="28"/>
                <w:u w:val="none"/>
                <w:lang w:val="en-US" w:eastAsia="zh-CN"/>
              </w:rPr>
            </w:pPr>
            <w:r>
              <w:rPr>
                <w:rFonts w:hint="eastAsia" w:ascii="华文仿宋" w:hAnsi="华文仿宋" w:cs="宋体"/>
                <w:color w:val="000000"/>
                <w:kern w:val="0"/>
                <w:sz w:val="28"/>
                <w:szCs w:val="28"/>
                <w:u w:val="none"/>
                <w:lang w:val="en-US" w:eastAsia="zh-CN"/>
              </w:rPr>
              <w:t>5</w:t>
            </w:r>
          </w:p>
        </w:tc>
        <w:tc>
          <w:tcPr>
            <w:tcW w:w="963" w:type="dxa"/>
            <w:vAlign w:val="center"/>
          </w:tcPr>
          <w:p>
            <w:pPr>
              <w:widowControl/>
              <w:spacing w:before="100" w:beforeAutospacing="1" w:after="100" w:afterAutospacing="1" w:line="240" w:lineRule="auto"/>
              <w:jc w:val="center"/>
              <w:textAlignment w:val="auto"/>
              <w:rPr>
                <w:rFonts w:hint="eastAsia" w:ascii="华文仿宋" w:hAnsi="华文仿宋" w:eastAsia="宋体" w:cs="宋体"/>
                <w:color w:val="000000"/>
                <w:kern w:val="0"/>
                <w:sz w:val="28"/>
                <w:szCs w:val="28"/>
                <w:u w:val="none"/>
                <w:lang w:val="en-US" w:eastAsia="zh-CN"/>
              </w:rPr>
            </w:pPr>
            <w:r>
              <w:rPr>
                <w:rFonts w:hint="eastAsia" w:ascii="华文仿宋" w:hAnsi="华文仿宋" w:eastAsia="宋体" w:cs="宋体"/>
                <w:color w:val="000000"/>
                <w:kern w:val="0"/>
                <w:sz w:val="28"/>
                <w:szCs w:val="28"/>
                <w:u w:val="none"/>
              </w:rPr>
              <w:t>培训</w:t>
            </w:r>
          </w:p>
        </w:tc>
        <w:tc>
          <w:tcPr>
            <w:tcW w:w="636" w:type="dxa"/>
            <w:vAlign w:val="center"/>
          </w:tcPr>
          <w:p>
            <w:pPr>
              <w:widowControl/>
              <w:spacing w:before="100" w:beforeAutospacing="1" w:after="100" w:afterAutospacing="1" w:line="240" w:lineRule="auto"/>
              <w:jc w:val="center"/>
              <w:textAlignment w:val="auto"/>
              <w:rPr>
                <w:rFonts w:hint="default" w:ascii="华文仿宋" w:hAnsi="华文仿宋" w:eastAsia="宋体" w:cs="宋体"/>
                <w:color w:val="000000"/>
                <w:kern w:val="0"/>
                <w:sz w:val="28"/>
                <w:szCs w:val="28"/>
                <w:u w:val="none"/>
                <w:lang w:val="en-US" w:eastAsia="zh-CN"/>
              </w:rPr>
            </w:pPr>
            <w:r>
              <w:rPr>
                <w:rFonts w:hint="eastAsia" w:ascii="华文仿宋" w:hAnsi="华文仿宋" w:cs="宋体"/>
                <w:color w:val="000000"/>
                <w:kern w:val="0"/>
                <w:sz w:val="28"/>
                <w:szCs w:val="28"/>
                <w:u w:val="none"/>
                <w:lang w:val="en-US" w:eastAsia="zh-CN"/>
              </w:rPr>
              <w:t>4</w:t>
            </w:r>
          </w:p>
        </w:tc>
        <w:tc>
          <w:tcPr>
            <w:tcW w:w="7267" w:type="dxa"/>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rPr>
            </w:pPr>
            <w:r>
              <w:rPr>
                <w:rFonts w:hint="eastAsia" w:ascii="华文仿宋" w:hAnsi="华文仿宋" w:eastAsia="宋体" w:cs="宋体"/>
                <w:color w:val="000000"/>
                <w:kern w:val="0"/>
                <w:sz w:val="28"/>
                <w:szCs w:val="28"/>
                <w:u w:val="none"/>
              </w:rPr>
              <w:t>现场对医师培训得</w:t>
            </w:r>
            <w:r>
              <w:rPr>
                <w:rFonts w:hint="eastAsia" w:ascii="华文仿宋" w:hAnsi="华文仿宋" w:cs="宋体"/>
                <w:color w:val="000000"/>
                <w:kern w:val="0"/>
                <w:sz w:val="28"/>
                <w:szCs w:val="28"/>
                <w:u w:val="none"/>
                <w:lang w:val="en-US" w:eastAsia="zh-CN"/>
              </w:rPr>
              <w:t>2</w:t>
            </w:r>
            <w:r>
              <w:rPr>
                <w:rFonts w:hint="eastAsia" w:ascii="华文仿宋" w:hAnsi="华文仿宋" w:eastAsia="宋体" w:cs="宋体"/>
                <w:color w:val="000000"/>
                <w:kern w:val="0"/>
                <w:sz w:val="28"/>
                <w:szCs w:val="28"/>
                <w:u w:val="none"/>
              </w:rPr>
              <w:t>分，</w:t>
            </w:r>
            <w:r>
              <w:rPr>
                <w:rFonts w:hint="eastAsia" w:ascii="华文仿宋" w:hAnsi="华文仿宋" w:cs="宋体"/>
                <w:color w:val="000000"/>
                <w:kern w:val="0"/>
                <w:sz w:val="28"/>
                <w:szCs w:val="28"/>
                <w:u w:val="none"/>
                <w:lang w:eastAsia="zh-CN"/>
              </w:rPr>
              <w:t>对工程师培训得</w:t>
            </w:r>
            <w:r>
              <w:rPr>
                <w:rFonts w:hint="eastAsia" w:ascii="华文仿宋" w:hAnsi="华文仿宋" w:cs="宋体"/>
                <w:color w:val="000000"/>
                <w:kern w:val="0"/>
                <w:sz w:val="28"/>
                <w:szCs w:val="28"/>
                <w:u w:val="none"/>
                <w:lang w:val="en-US" w:eastAsia="zh-CN"/>
              </w:rPr>
              <w:t>2分，本小项最高4分。</w:t>
            </w:r>
          </w:p>
        </w:tc>
        <w:tc>
          <w:tcPr>
            <w:tcW w:w="567" w:type="dxa"/>
            <w:vAlign w:val="top"/>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rPr>
            </w:pPr>
          </w:p>
        </w:tc>
      </w:tr>
    </w:tbl>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rPr>
      </w:pPr>
    </w:p>
    <w:p>
      <w:pPr>
        <w:widowControl w:val="0"/>
        <w:snapToGrid w:val="0"/>
        <w:spacing w:line="360" w:lineRule="auto"/>
        <w:ind w:left="695" w:hanging="1946" w:hangingChars="695"/>
        <w:jc w:val="left"/>
        <w:textAlignment w:val="auto"/>
        <w:rPr>
          <w:rFonts w:hint="eastAsia" w:ascii="Calibri" w:hAnsi="Calibri"/>
          <w:b w:val="0"/>
          <w:bCs/>
          <w:color w:val="auto"/>
          <w:kern w:val="2"/>
          <w:sz w:val="28"/>
          <w:szCs w:val="28"/>
          <w:u w:val="none" w:color="auto"/>
          <w:lang w:eastAsia="zh-CN"/>
        </w:rPr>
      </w:pPr>
      <w:bookmarkStart w:id="14" w:name="_Toc267320058"/>
    </w:p>
    <w:p>
      <w:pPr>
        <w:pStyle w:val="2"/>
        <w:rPr>
          <w:rFonts w:hint="eastAsia" w:ascii="Calibri" w:hAnsi="Calibri"/>
          <w:b w:val="0"/>
          <w:bCs/>
          <w:color w:val="auto"/>
          <w:kern w:val="2"/>
          <w:sz w:val="28"/>
          <w:szCs w:val="28"/>
          <w:u w:val="none" w:color="auto"/>
          <w:lang w:eastAsia="zh-CN"/>
        </w:rPr>
      </w:pPr>
    </w:p>
    <w:p>
      <w:pPr>
        <w:pStyle w:val="2"/>
        <w:rPr>
          <w:rFonts w:hint="eastAsia" w:ascii="Calibri" w:hAnsi="Calibri"/>
          <w:b w:val="0"/>
          <w:bCs/>
          <w:color w:val="auto"/>
          <w:kern w:val="2"/>
          <w:sz w:val="28"/>
          <w:szCs w:val="28"/>
          <w:u w:val="none" w:color="auto"/>
          <w:lang w:eastAsia="zh-CN"/>
        </w:rPr>
      </w:pPr>
    </w:p>
    <w:p>
      <w:pPr>
        <w:pStyle w:val="2"/>
        <w:rPr>
          <w:rFonts w:hint="eastAsia" w:ascii="Calibri" w:hAnsi="Calibri"/>
          <w:b w:val="0"/>
          <w:bCs/>
          <w:color w:val="auto"/>
          <w:kern w:val="2"/>
          <w:sz w:val="28"/>
          <w:szCs w:val="28"/>
          <w:u w:val="none" w:color="auto"/>
          <w:lang w:eastAsia="zh-CN"/>
        </w:rPr>
      </w:pPr>
    </w:p>
    <w:p>
      <w:pPr>
        <w:pStyle w:val="2"/>
        <w:rPr>
          <w:rFonts w:hint="eastAsia" w:ascii="Calibri" w:hAnsi="Calibri"/>
          <w:b w:val="0"/>
          <w:bCs/>
          <w:color w:val="auto"/>
          <w:kern w:val="2"/>
          <w:sz w:val="28"/>
          <w:szCs w:val="28"/>
          <w:u w:val="none" w:color="auto"/>
          <w:lang w:eastAsia="zh-CN"/>
        </w:rPr>
      </w:pPr>
    </w:p>
    <w:p>
      <w:pPr>
        <w:pStyle w:val="2"/>
        <w:rPr>
          <w:rFonts w:hint="eastAsia" w:ascii="Calibri" w:hAnsi="Calibri"/>
          <w:b w:val="0"/>
          <w:bCs/>
          <w:color w:val="auto"/>
          <w:kern w:val="2"/>
          <w:sz w:val="28"/>
          <w:szCs w:val="28"/>
          <w:u w:val="none" w:color="auto"/>
          <w:lang w:eastAsia="zh-CN"/>
        </w:rPr>
      </w:pPr>
    </w:p>
    <w:bookmarkEnd w:id="14"/>
    <w:p>
      <w:pPr>
        <w:widowControl w:val="0"/>
        <w:snapToGrid w:val="0"/>
        <w:spacing w:line="360" w:lineRule="auto"/>
        <w:jc w:val="left"/>
        <w:textAlignment w:val="auto"/>
        <w:rPr>
          <w:rFonts w:ascii="宋体" w:hAnsi="宋体" w:cs="宋体"/>
          <w:b/>
          <w:bCs/>
          <w:color w:val="auto"/>
          <w:kern w:val="2"/>
          <w:sz w:val="28"/>
          <w:szCs w:val="28"/>
          <w:highlight w:val="none"/>
          <w:u w:val="none"/>
        </w:rPr>
      </w:pPr>
      <w:r>
        <w:rPr>
          <w:rFonts w:hint="eastAsia" w:ascii="宋体" w:hAnsi="宋体" w:cs="宋体"/>
          <w:b/>
          <w:bCs/>
          <w:color w:val="auto"/>
          <w:kern w:val="2"/>
          <w:sz w:val="28"/>
          <w:szCs w:val="28"/>
          <w:highlight w:val="none"/>
          <w:u w:val="none"/>
        </w:rPr>
        <w:t>附件（一）</w:t>
      </w:r>
    </w:p>
    <w:p>
      <w:pPr>
        <w:widowControl w:val="0"/>
        <w:snapToGrid w:val="0"/>
        <w:spacing w:line="360" w:lineRule="auto"/>
        <w:ind w:left="1954" w:hanging="1954"/>
        <w:jc w:val="center"/>
        <w:textAlignment w:val="auto"/>
        <w:rPr>
          <w:rFonts w:ascii="宋体" w:hAnsi="宋体" w:cs="宋体"/>
          <w:b/>
          <w:bCs/>
          <w:color w:val="auto"/>
          <w:kern w:val="2"/>
          <w:sz w:val="36"/>
          <w:szCs w:val="36"/>
          <w:highlight w:val="none"/>
          <w:u w:val="none"/>
        </w:rPr>
      </w:pPr>
      <w:r>
        <w:rPr>
          <w:rFonts w:hint="eastAsia" w:ascii="宋体" w:hAnsi="宋体" w:cs="宋体"/>
          <w:b/>
          <w:bCs/>
          <w:color w:val="auto"/>
          <w:kern w:val="2"/>
          <w:sz w:val="36"/>
          <w:szCs w:val="36"/>
          <w:highlight w:val="none"/>
          <w:u w:val="none"/>
        </w:rPr>
        <w:t>投标报价函</w:t>
      </w:r>
    </w:p>
    <w:p>
      <w:pPr>
        <w:widowControl w:val="0"/>
        <w:snapToGrid w:val="0"/>
        <w:spacing w:line="360" w:lineRule="auto"/>
        <w:ind w:left="1663" w:hanging="1663" w:hangingChars="594"/>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安徽相王医疗健康股份有限公司：</w:t>
      </w:r>
    </w:p>
    <w:p>
      <w:pPr>
        <w:widowControl w:val="0"/>
        <w:snapToGrid w:val="0"/>
        <w:spacing w:line="360" w:lineRule="auto"/>
        <w:ind w:firstLine="560" w:firstLineChars="200"/>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我们已全面研究了“安徽相王医疗健康股份有限公司体检中心导检系统及皖北康复医院叫号系统询价函”，并熟知招标文件的各项规定，我方同意按招标文件规定的全部条件投标。投标报价（含税）如下：</w:t>
      </w:r>
    </w:p>
    <w:p>
      <w:pPr>
        <w:widowControl w:val="0"/>
        <w:snapToGrid w:val="0"/>
        <w:spacing w:line="360" w:lineRule="auto"/>
        <w:ind w:left="1155" w:leftChars="550" w:firstLine="280" w:firstLineChars="100"/>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投标报价：  人民币元（大写</w:t>
      </w:r>
      <w:r>
        <w:rPr>
          <w:rFonts w:hint="eastAsia" w:ascii="宋体" w:hAnsi="宋体" w:cs="宋体"/>
          <w:color w:val="auto"/>
          <w:kern w:val="2"/>
          <w:sz w:val="28"/>
          <w:szCs w:val="28"/>
          <w:highlight w:val="none"/>
          <w:u w:val="none"/>
          <w:lang w:val="en-US" w:eastAsia="zh-CN"/>
        </w:rPr>
        <w:t xml:space="preserve">  </w:t>
      </w:r>
      <w:r>
        <w:rPr>
          <w:rFonts w:hint="eastAsia" w:ascii="宋体" w:hAnsi="宋体" w:cs="宋体"/>
          <w:color w:val="auto"/>
          <w:kern w:val="2"/>
          <w:sz w:val="28"/>
          <w:szCs w:val="28"/>
          <w:highlight w:val="none"/>
          <w:u w:val="none"/>
        </w:rPr>
        <w:t>）；</w:t>
      </w:r>
    </w:p>
    <w:p>
      <w:pPr>
        <w:widowControl w:val="0"/>
        <w:snapToGrid w:val="0"/>
        <w:spacing w:line="360" w:lineRule="auto"/>
        <w:ind w:firstLine="560" w:firstLineChars="200"/>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我方承诺，我方一旦中标，将于收到中标通知书后的</w:t>
      </w:r>
      <w:r>
        <w:rPr>
          <w:rFonts w:hint="eastAsia" w:ascii="宋体" w:hAnsi="宋体" w:cs="宋体"/>
          <w:color w:val="auto"/>
          <w:kern w:val="2"/>
          <w:sz w:val="28"/>
          <w:szCs w:val="28"/>
          <w:highlight w:val="none"/>
          <w:u w:val="none"/>
          <w:lang w:val="en-US" w:eastAsia="zh-CN"/>
        </w:rPr>
        <w:t>3</w:t>
      </w:r>
      <w:bookmarkStart w:id="16" w:name="_GoBack"/>
      <w:bookmarkEnd w:id="16"/>
      <w:r>
        <w:rPr>
          <w:rFonts w:hint="eastAsia" w:ascii="宋体" w:hAnsi="宋体" w:cs="宋体"/>
          <w:color w:val="auto"/>
          <w:kern w:val="2"/>
          <w:sz w:val="28"/>
          <w:szCs w:val="28"/>
          <w:highlight w:val="none"/>
          <w:u w:val="none"/>
          <w:lang w:val="en-US" w:eastAsia="zh-CN"/>
        </w:rPr>
        <w:t>0</w:t>
      </w:r>
      <w:r>
        <w:rPr>
          <w:rFonts w:hint="eastAsia" w:ascii="宋体" w:hAnsi="宋体" w:cs="宋体"/>
          <w:color w:val="auto"/>
          <w:kern w:val="2"/>
          <w:sz w:val="28"/>
          <w:szCs w:val="28"/>
          <w:highlight w:val="none"/>
          <w:u w:val="none"/>
        </w:rPr>
        <w:t>日内与贵方签订合同。如逾期不派代表签约。贵单位有权不予退还投标保证金，并视为我方自动放弃中标资格。</w:t>
      </w:r>
    </w:p>
    <w:p>
      <w:pPr>
        <w:widowControl w:val="0"/>
        <w:snapToGrid w:val="0"/>
        <w:spacing w:line="360" w:lineRule="auto"/>
        <w:ind w:firstLine="560" w:firstLineChars="200"/>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我方理解，如我方未中标，贵方有权不作任何解释。</w:t>
      </w:r>
    </w:p>
    <w:p>
      <w:pPr>
        <w:widowControl w:val="0"/>
        <w:snapToGrid w:val="0"/>
        <w:spacing w:line="360" w:lineRule="auto"/>
        <w:ind w:firstLine="560" w:firstLineChars="200"/>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本投标书在开标后的30日内有效，在合同未签订前，本投标文件</w:t>
      </w:r>
      <w:r>
        <w:rPr>
          <w:rFonts w:ascii="宋体" w:hAnsi="宋体" w:cs="宋体"/>
          <w:color w:val="auto"/>
          <w:kern w:val="2"/>
          <w:sz w:val="28"/>
          <w:szCs w:val="28"/>
          <w:highlight w:val="none"/>
          <w:u w:val="none"/>
        </w:rPr>
        <w:t>(</w:t>
      </w:r>
      <w:r>
        <w:rPr>
          <w:rFonts w:hint="eastAsia" w:ascii="宋体" w:hAnsi="宋体" w:cs="宋体"/>
          <w:color w:val="auto"/>
          <w:kern w:val="2"/>
          <w:sz w:val="28"/>
          <w:szCs w:val="28"/>
          <w:highlight w:val="none"/>
          <w:u w:val="none"/>
        </w:rPr>
        <w:t>与招标文件有抵触的内容除外</w:t>
      </w:r>
      <w:r>
        <w:rPr>
          <w:rFonts w:ascii="宋体" w:hAnsi="宋体" w:cs="宋体"/>
          <w:color w:val="auto"/>
          <w:kern w:val="2"/>
          <w:sz w:val="28"/>
          <w:szCs w:val="28"/>
          <w:highlight w:val="none"/>
          <w:u w:val="none"/>
        </w:rPr>
        <w:t>)</w:t>
      </w:r>
      <w:r>
        <w:rPr>
          <w:rFonts w:hint="eastAsia" w:ascii="宋体" w:hAnsi="宋体" w:cs="宋体"/>
          <w:color w:val="auto"/>
          <w:kern w:val="2"/>
          <w:sz w:val="28"/>
          <w:szCs w:val="28"/>
          <w:highlight w:val="none"/>
          <w:u w:val="none"/>
        </w:rPr>
        <w:t>连同你单位的中标通知书将构成约束贵我双方的协议。</w:t>
      </w:r>
    </w:p>
    <w:p>
      <w:pPr>
        <w:widowControl w:val="0"/>
        <w:spacing w:after="120" w:line="500" w:lineRule="exact"/>
        <w:ind w:left="2366" w:leftChars="200" w:hanging="1946"/>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投标人</w:t>
      </w:r>
      <w:r>
        <w:rPr>
          <w:rFonts w:ascii="宋体" w:hAnsi="宋体" w:cs="宋体"/>
          <w:color w:val="auto"/>
          <w:kern w:val="2"/>
          <w:sz w:val="28"/>
          <w:szCs w:val="28"/>
          <w:highlight w:val="none"/>
          <w:u w:val="none"/>
        </w:rPr>
        <w:t>(</w:t>
      </w:r>
      <w:r>
        <w:rPr>
          <w:rFonts w:hint="eastAsia" w:ascii="宋体" w:hAnsi="宋体" w:cs="宋体"/>
          <w:color w:val="auto"/>
          <w:kern w:val="2"/>
          <w:sz w:val="28"/>
          <w:szCs w:val="28"/>
          <w:highlight w:val="none"/>
          <w:u w:val="none"/>
        </w:rPr>
        <w:t>公章</w:t>
      </w:r>
      <w:r>
        <w:rPr>
          <w:rFonts w:ascii="宋体" w:hAnsi="宋体" w:cs="宋体"/>
          <w:color w:val="auto"/>
          <w:kern w:val="2"/>
          <w:sz w:val="28"/>
          <w:szCs w:val="28"/>
          <w:highlight w:val="none"/>
          <w:u w:val="none"/>
        </w:rPr>
        <w:t>)</w:t>
      </w:r>
      <w:r>
        <w:rPr>
          <w:rFonts w:hint="eastAsia" w:ascii="宋体" w:hAnsi="宋体" w:cs="宋体"/>
          <w:color w:val="auto"/>
          <w:kern w:val="2"/>
          <w:sz w:val="28"/>
          <w:szCs w:val="28"/>
          <w:highlight w:val="none"/>
          <w:u w:val="none"/>
        </w:rPr>
        <w:t>：</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p>
    <w:p>
      <w:pPr>
        <w:widowControl w:val="0"/>
        <w:spacing w:after="120" w:line="500" w:lineRule="exact"/>
        <w:ind w:left="2366" w:leftChars="200" w:hanging="1946"/>
        <w:jc w:val="left"/>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法定代表人</w:t>
      </w:r>
      <w:r>
        <w:rPr>
          <w:rFonts w:ascii="宋体" w:hAnsi="宋体" w:cs="宋体"/>
          <w:color w:val="auto"/>
          <w:kern w:val="2"/>
          <w:sz w:val="28"/>
          <w:szCs w:val="28"/>
          <w:highlight w:val="none"/>
          <w:u w:val="none"/>
        </w:rPr>
        <w:t>(</w:t>
      </w:r>
      <w:r>
        <w:rPr>
          <w:rFonts w:hint="eastAsia" w:ascii="宋体" w:hAnsi="宋体" w:cs="宋体"/>
          <w:color w:val="auto"/>
          <w:kern w:val="2"/>
          <w:sz w:val="28"/>
          <w:szCs w:val="28"/>
          <w:highlight w:val="none"/>
          <w:u w:val="none"/>
        </w:rPr>
        <w:t>签字</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w:t>
      </w:r>
      <w:r>
        <w:rPr>
          <w:rFonts w:ascii="宋体" w:hAnsi="宋体" w:cs="宋体"/>
          <w:color w:val="auto"/>
          <w:kern w:val="2"/>
          <w:sz w:val="28"/>
          <w:szCs w:val="28"/>
          <w:highlight w:val="none"/>
          <w:u w:val="single"/>
        </w:rPr>
        <w:t xml:space="preserve">             </w:t>
      </w:r>
    </w:p>
    <w:p>
      <w:pPr>
        <w:widowControl w:val="0"/>
        <w:spacing w:after="120" w:line="500" w:lineRule="exact"/>
        <w:ind w:left="2366" w:leftChars="200" w:hanging="1946"/>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联系人：</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p>
    <w:p>
      <w:pPr>
        <w:widowControl w:val="0"/>
        <w:spacing w:after="120" w:line="500" w:lineRule="exact"/>
        <w:ind w:left="2366" w:leftChars="200" w:hanging="1946"/>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地</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址：</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邮</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编：</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p>
    <w:p>
      <w:pPr>
        <w:widowControl w:val="0"/>
        <w:spacing w:after="120" w:line="500" w:lineRule="exact"/>
        <w:ind w:left="2366" w:leftChars="200" w:hanging="1946"/>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电</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话：</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传  真：</w:t>
      </w:r>
      <w:r>
        <w:rPr>
          <w:rFonts w:ascii="宋体" w:hAnsi="宋体" w:cs="宋体"/>
          <w:b/>
          <w:color w:val="auto"/>
          <w:kern w:val="2"/>
          <w:sz w:val="28"/>
          <w:szCs w:val="28"/>
          <w:highlight w:val="none"/>
          <w:u w:val="single"/>
        </w:rPr>
        <w:t xml:space="preserve">                </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p>
    <w:p>
      <w:pPr>
        <w:widowControl w:val="0"/>
        <w:spacing w:after="120" w:line="500" w:lineRule="exact"/>
        <w:ind w:left="2366" w:leftChars="200" w:hanging="1946"/>
        <w:jc w:val="left"/>
        <w:textAlignment w:val="auto"/>
        <w:rPr>
          <w:rFonts w:ascii="宋体" w:hAnsi="宋体" w:cs="宋体"/>
          <w:color w:val="auto"/>
          <w:kern w:val="2"/>
          <w:sz w:val="28"/>
          <w:szCs w:val="28"/>
          <w:highlight w:val="none"/>
          <w:u w:val="single"/>
        </w:rPr>
      </w:pPr>
      <w:r>
        <w:rPr>
          <w:rFonts w:hint="eastAsia" w:ascii="宋体" w:hAnsi="宋体" w:cs="宋体"/>
          <w:color w:val="auto"/>
          <w:kern w:val="2"/>
          <w:sz w:val="28"/>
          <w:szCs w:val="28"/>
          <w:highlight w:val="none"/>
          <w:u w:val="none"/>
        </w:rPr>
        <w:t>开户银行：</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帐</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号：</w:t>
      </w:r>
      <w:r>
        <w:rPr>
          <w:rFonts w:ascii="宋体" w:hAnsi="宋体" w:cs="宋体"/>
          <w:color w:val="auto"/>
          <w:kern w:val="2"/>
          <w:sz w:val="28"/>
          <w:szCs w:val="28"/>
          <w:highlight w:val="none"/>
          <w:u w:val="single"/>
        </w:rPr>
        <w:t xml:space="preserve">             </w:t>
      </w:r>
    </w:p>
    <w:p>
      <w:pPr>
        <w:widowControl w:val="0"/>
        <w:spacing w:after="120" w:line="500" w:lineRule="exact"/>
        <w:ind w:left="2366" w:leftChars="200" w:hanging="1946"/>
        <w:jc w:val="left"/>
        <w:textAlignment w:val="auto"/>
        <w:rPr>
          <w:rFonts w:hint="eastAsia" w:ascii="宋体" w:hAnsi="宋体" w:cs="宋体"/>
          <w:color w:val="auto"/>
          <w:kern w:val="2"/>
          <w:sz w:val="28"/>
          <w:szCs w:val="28"/>
          <w:highlight w:val="none"/>
          <w:u w:val="single"/>
          <w:lang w:val="en-US" w:eastAsia="zh-CN"/>
        </w:rPr>
      </w:pPr>
      <w:r>
        <w:rPr>
          <w:rFonts w:hint="eastAsia" w:ascii="宋体" w:hAnsi="宋体" w:cs="宋体"/>
          <w:color w:val="auto"/>
          <w:kern w:val="2"/>
          <w:sz w:val="28"/>
          <w:szCs w:val="28"/>
          <w:highlight w:val="none"/>
          <w:u w:val="none" w:color="auto"/>
          <w:lang w:eastAsia="zh-CN"/>
        </w:rPr>
        <w:t>纳税人识别号：</w:t>
      </w:r>
      <w:r>
        <w:rPr>
          <w:rFonts w:hint="eastAsia" w:ascii="宋体" w:hAnsi="宋体" w:cs="宋体"/>
          <w:color w:val="auto"/>
          <w:kern w:val="2"/>
          <w:sz w:val="28"/>
          <w:szCs w:val="28"/>
          <w:highlight w:val="none"/>
          <w:u w:val="single"/>
          <w:lang w:val="en-US" w:eastAsia="zh-CN"/>
        </w:rPr>
        <w:t xml:space="preserve">                        </w:t>
      </w:r>
    </w:p>
    <w:p>
      <w:pPr>
        <w:widowControl w:val="0"/>
        <w:spacing w:after="120" w:line="500" w:lineRule="exact"/>
        <w:ind w:left="2366" w:leftChars="200" w:hanging="1946"/>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公司电子邮箱：</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p>
    <w:p>
      <w:pPr>
        <w:widowControl w:val="0"/>
        <w:autoSpaceDE w:val="0"/>
        <w:autoSpaceDN w:val="0"/>
        <w:adjustRightInd w:val="0"/>
        <w:snapToGrid w:val="0"/>
        <w:spacing w:line="360" w:lineRule="auto"/>
        <w:ind w:left="1946" w:hanging="1946"/>
        <w:jc w:val="right"/>
        <w:textAlignment w:val="auto"/>
        <w:rPr>
          <w:rFonts w:hint="eastAsia" w:ascii="宋体" w:hAnsi="宋体" w:cs="宋体"/>
          <w:b/>
          <w:bCs/>
          <w:color w:val="auto"/>
          <w:kern w:val="2"/>
          <w:sz w:val="36"/>
          <w:szCs w:val="36"/>
          <w:highlight w:val="none"/>
          <w:u w:val="none"/>
          <w:lang w:eastAsia="zh-CN"/>
        </w:rPr>
      </w:pPr>
      <w:r>
        <w:rPr>
          <w:rFonts w:hint="eastAsia" w:ascii="宋体" w:hAnsi="宋体" w:cs="宋体"/>
          <w:color w:val="auto"/>
          <w:kern w:val="2"/>
          <w:sz w:val="28"/>
          <w:szCs w:val="28"/>
          <w:highlight w:val="none"/>
          <w:u w:val="none"/>
        </w:rPr>
        <w:t>日</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期：</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年</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月</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日</w:t>
      </w:r>
    </w:p>
    <w:p>
      <w:pPr>
        <w:widowControl w:val="0"/>
        <w:snapToGrid w:val="0"/>
        <w:spacing w:line="360" w:lineRule="auto"/>
        <w:jc w:val="left"/>
        <w:textAlignment w:val="auto"/>
        <w:rPr>
          <w:rFonts w:hint="eastAsia" w:ascii="宋体" w:hAnsi="宋体" w:cs="宋体"/>
          <w:b/>
          <w:bCs/>
          <w:color w:val="auto"/>
          <w:kern w:val="2"/>
          <w:sz w:val="28"/>
          <w:szCs w:val="28"/>
          <w:highlight w:val="none"/>
          <w:u w:val="none"/>
        </w:rPr>
      </w:pPr>
    </w:p>
    <w:p>
      <w:pPr>
        <w:widowControl w:val="0"/>
        <w:snapToGrid w:val="0"/>
        <w:spacing w:line="360" w:lineRule="auto"/>
        <w:jc w:val="left"/>
        <w:textAlignment w:val="auto"/>
        <w:rPr>
          <w:rFonts w:hint="eastAsia" w:ascii="宋体" w:hAnsi="宋体" w:cs="宋体"/>
          <w:b/>
          <w:bCs/>
          <w:kern w:val="2"/>
          <w:sz w:val="28"/>
          <w:szCs w:val="28"/>
          <w:u w:val="none"/>
          <w:lang w:eastAsia="zh-CN"/>
        </w:rPr>
      </w:pPr>
    </w:p>
    <w:p>
      <w:pPr>
        <w:widowControl w:val="0"/>
        <w:snapToGrid w:val="0"/>
        <w:spacing w:line="360" w:lineRule="auto"/>
        <w:jc w:val="left"/>
        <w:textAlignment w:val="auto"/>
        <w:rPr>
          <w:rFonts w:hint="eastAsia" w:ascii="宋体" w:hAnsi="宋体" w:cs="宋体"/>
          <w:b/>
          <w:bCs/>
          <w:kern w:val="2"/>
          <w:sz w:val="28"/>
          <w:szCs w:val="28"/>
          <w:u w:val="none"/>
          <w:lang w:eastAsia="zh-CN"/>
        </w:rPr>
      </w:pPr>
      <w:r>
        <w:rPr>
          <w:rFonts w:hint="eastAsia" w:ascii="宋体" w:hAnsi="宋体" w:cs="宋体"/>
          <w:b/>
          <w:bCs/>
          <w:kern w:val="2"/>
          <w:sz w:val="28"/>
          <w:szCs w:val="28"/>
          <w:u w:val="none"/>
          <w:lang w:eastAsia="zh-CN"/>
        </w:rPr>
        <w:t>附件（二）</w:t>
      </w:r>
    </w:p>
    <w:p>
      <w:pPr>
        <w:widowControl w:val="0"/>
        <w:snapToGrid w:val="0"/>
        <w:spacing w:line="360" w:lineRule="auto"/>
        <w:jc w:val="center"/>
        <w:textAlignment w:val="auto"/>
        <w:rPr>
          <w:rFonts w:ascii="宋体" w:hAnsi="Calibri" w:cs="Times New Roman"/>
          <w:b/>
          <w:bCs/>
          <w:kern w:val="2"/>
          <w:sz w:val="28"/>
          <w:szCs w:val="28"/>
          <w:u w:val="none"/>
        </w:rPr>
      </w:pPr>
      <w:r>
        <w:rPr>
          <w:rFonts w:hint="eastAsia" w:ascii="宋体" w:hAnsi="宋体" w:cs="宋体"/>
          <w:b/>
          <w:bCs/>
          <w:kern w:val="2"/>
          <w:sz w:val="28"/>
          <w:szCs w:val="28"/>
          <w:u w:val="none"/>
        </w:rPr>
        <w:t>投标</w:t>
      </w:r>
      <w:r>
        <w:rPr>
          <w:rFonts w:hint="eastAsia" w:ascii="宋体" w:hAnsi="宋体" w:cs="宋体"/>
          <w:b/>
          <w:bCs/>
          <w:kern w:val="2"/>
          <w:sz w:val="28"/>
          <w:szCs w:val="28"/>
          <w:u w:val="none"/>
          <w:lang w:eastAsia="zh-CN"/>
        </w:rPr>
        <w:t>软件</w:t>
      </w:r>
      <w:r>
        <w:rPr>
          <w:rFonts w:hint="eastAsia" w:ascii="宋体" w:hAnsi="宋体" w:cs="宋体"/>
          <w:b/>
          <w:bCs/>
          <w:kern w:val="2"/>
          <w:sz w:val="28"/>
          <w:szCs w:val="28"/>
          <w:u w:val="none"/>
        </w:rPr>
        <w:t>报价汇总表</w:t>
      </w:r>
    </w:p>
    <w:tbl>
      <w:tblPr>
        <w:tblStyle w:val="15"/>
        <w:tblW w:w="11205"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395"/>
        <w:gridCol w:w="1395"/>
        <w:gridCol w:w="480"/>
        <w:gridCol w:w="780"/>
        <w:gridCol w:w="1380"/>
        <w:gridCol w:w="1425"/>
        <w:gridCol w:w="129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825" w:type="dxa"/>
            <w:shd w:val="clear" w:color="auto" w:fill="CCFFCC"/>
            <w:vAlign w:val="center"/>
          </w:tcPr>
          <w:p>
            <w:pPr>
              <w:widowControl w:val="0"/>
              <w:snapToGrid w:val="0"/>
              <w:spacing w:line="360" w:lineRule="auto"/>
              <w:ind w:left="31680" w:hanging="1946" w:hangingChars="695"/>
              <w:jc w:val="center"/>
              <w:textAlignment w:val="auto"/>
              <w:rPr>
                <w:rFonts w:ascii="宋体" w:hAnsi="Calibri" w:cs="宋体"/>
                <w:kern w:val="2"/>
                <w:sz w:val="28"/>
                <w:szCs w:val="28"/>
                <w:u w:val="none"/>
              </w:rPr>
            </w:pPr>
            <w:r>
              <w:rPr>
                <w:rFonts w:hint="eastAsia" w:ascii="宋体" w:hAnsi="宋体" w:cs="宋体"/>
                <w:kern w:val="2"/>
                <w:sz w:val="28"/>
                <w:szCs w:val="28"/>
                <w:u w:val="none"/>
              </w:rPr>
              <w:t>序号</w:t>
            </w:r>
          </w:p>
        </w:tc>
        <w:tc>
          <w:tcPr>
            <w:tcW w:w="1395" w:type="dxa"/>
            <w:shd w:val="clear" w:color="auto" w:fill="CCFFCC"/>
            <w:vAlign w:val="center"/>
          </w:tcPr>
          <w:p>
            <w:pPr>
              <w:widowControl w:val="0"/>
              <w:snapToGrid w:val="0"/>
              <w:spacing w:line="360" w:lineRule="auto"/>
              <w:ind w:left="31680" w:hanging="1946" w:hangingChars="695"/>
              <w:jc w:val="center"/>
              <w:textAlignment w:val="auto"/>
              <w:rPr>
                <w:rFonts w:ascii="宋体" w:hAnsi="Calibri" w:cs="宋体"/>
                <w:kern w:val="2"/>
                <w:sz w:val="28"/>
                <w:szCs w:val="28"/>
                <w:u w:val="none"/>
              </w:rPr>
            </w:pPr>
            <w:r>
              <w:rPr>
                <w:rFonts w:hint="eastAsia" w:ascii="宋体" w:hAnsi="宋体" w:cs="宋体"/>
                <w:kern w:val="2"/>
                <w:sz w:val="28"/>
                <w:szCs w:val="28"/>
                <w:u w:val="none"/>
                <w:lang w:eastAsia="zh-CN"/>
              </w:rPr>
              <w:t>软件</w:t>
            </w:r>
            <w:r>
              <w:rPr>
                <w:rFonts w:hint="eastAsia" w:ascii="宋体" w:hAnsi="宋体" w:cs="宋体"/>
                <w:kern w:val="2"/>
                <w:sz w:val="28"/>
                <w:szCs w:val="28"/>
                <w:u w:val="none"/>
              </w:rPr>
              <w:t>名称</w:t>
            </w:r>
          </w:p>
        </w:tc>
        <w:tc>
          <w:tcPr>
            <w:tcW w:w="1395" w:type="dxa"/>
            <w:shd w:val="clear" w:color="auto" w:fill="CCFFCC"/>
            <w:vAlign w:val="center"/>
          </w:tcPr>
          <w:p>
            <w:pPr>
              <w:widowControl w:val="0"/>
              <w:snapToGrid w:val="0"/>
              <w:spacing w:line="360" w:lineRule="auto"/>
              <w:ind w:left="31680" w:hanging="1946" w:hangingChars="695"/>
              <w:jc w:val="center"/>
              <w:textAlignment w:val="auto"/>
              <w:rPr>
                <w:rFonts w:ascii="宋体" w:hAnsi="Calibri" w:cs="宋体"/>
                <w:kern w:val="2"/>
                <w:sz w:val="28"/>
                <w:szCs w:val="28"/>
                <w:u w:val="none"/>
              </w:rPr>
            </w:pPr>
            <w:r>
              <w:rPr>
                <w:rFonts w:hint="eastAsia" w:ascii="宋体" w:hAnsi="宋体" w:cs="宋体"/>
                <w:kern w:val="2"/>
                <w:sz w:val="28"/>
                <w:szCs w:val="28"/>
                <w:u w:val="none"/>
              </w:rPr>
              <w:t>规格型号</w:t>
            </w:r>
          </w:p>
        </w:tc>
        <w:tc>
          <w:tcPr>
            <w:tcW w:w="480" w:type="dxa"/>
            <w:shd w:val="clear" w:color="auto" w:fill="CCFFCC"/>
            <w:vAlign w:val="center"/>
          </w:tcPr>
          <w:p>
            <w:pPr>
              <w:widowControl w:val="0"/>
              <w:snapToGrid w:val="0"/>
              <w:spacing w:line="360" w:lineRule="auto"/>
              <w:ind w:left="0" w:firstLine="0" w:firstLineChars="0"/>
              <w:textAlignment w:val="auto"/>
              <w:rPr>
                <w:rFonts w:ascii="宋体" w:hAnsi="Calibri" w:cs="宋体"/>
                <w:kern w:val="2"/>
                <w:sz w:val="28"/>
                <w:szCs w:val="28"/>
                <w:u w:val="none"/>
              </w:rPr>
            </w:pPr>
            <w:r>
              <w:rPr>
                <w:rFonts w:hint="eastAsia" w:ascii="宋体" w:hAnsi="宋体" w:cs="宋体"/>
                <w:kern w:val="2"/>
                <w:sz w:val="28"/>
                <w:szCs w:val="28"/>
                <w:u w:val="none"/>
              </w:rPr>
              <w:t>单位</w:t>
            </w:r>
          </w:p>
        </w:tc>
        <w:tc>
          <w:tcPr>
            <w:tcW w:w="780" w:type="dxa"/>
            <w:shd w:val="clear" w:color="auto" w:fill="CCFFCC"/>
            <w:vAlign w:val="center"/>
          </w:tcPr>
          <w:p>
            <w:pPr>
              <w:widowControl w:val="0"/>
              <w:snapToGrid w:val="0"/>
              <w:spacing w:line="360" w:lineRule="auto"/>
              <w:ind w:left="31680" w:hanging="1946" w:hangingChars="695"/>
              <w:jc w:val="center"/>
              <w:textAlignment w:val="auto"/>
              <w:rPr>
                <w:rFonts w:ascii="宋体" w:hAnsi="Calibri" w:cs="宋体"/>
                <w:kern w:val="2"/>
                <w:sz w:val="28"/>
                <w:szCs w:val="28"/>
                <w:u w:val="none"/>
              </w:rPr>
            </w:pPr>
            <w:r>
              <w:rPr>
                <w:rFonts w:hint="eastAsia" w:ascii="宋体" w:hAnsi="宋体" w:cs="宋体"/>
                <w:kern w:val="2"/>
                <w:sz w:val="28"/>
                <w:szCs w:val="28"/>
                <w:u w:val="none"/>
              </w:rPr>
              <w:t>数量</w:t>
            </w:r>
          </w:p>
        </w:tc>
        <w:tc>
          <w:tcPr>
            <w:tcW w:w="1380" w:type="dxa"/>
            <w:shd w:val="clear" w:color="auto" w:fill="CCFFCC"/>
            <w:vAlign w:val="center"/>
          </w:tcPr>
          <w:p>
            <w:pPr>
              <w:widowControl w:val="0"/>
              <w:snapToGrid w:val="0"/>
              <w:spacing w:line="360" w:lineRule="auto"/>
              <w:ind w:left="31680" w:hanging="1946" w:hangingChars="695"/>
              <w:jc w:val="center"/>
              <w:textAlignment w:val="auto"/>
              <w:rPr>
                <w:rFonts w:ascii="宋体" w:hAnsi="Calibri" w:cs="宋体"/>
                <w:kern w:val="2"/>
                <w:sz w:val="28"/>
                <w:szCs w:val="28"/>
                <w:u w:val="none"/>
              </w:rPr>
            </w:pPr>
            <w:r>
              <w:rPr>
                <w:rFonts w:hint="eastAsia" w:ascii="宋体" w:hAnsi="宋体" w:cs="宋体"/>
                <w:kern w:val="2"/>
                <w:sz w:val="28"/>
                <w:szCs w:val="28"/>
                <w:u w:val="none"/>
              </w:rPr>
              <w:t>单价（元）</w:t>
            </w:r>
          </w:p>
        </w:tc>
        <w:tc>
          <w:tcPr>
            <w:tcW w:w="1425" w:type="dxa"/>
            <w:shd w:val="clear" w:color="auto" w:fill="CCFFCC"/>
            <w:vAlign w:val="center"/>
          </w:tcPr>
          <w:p>
            <w:pPr>
              <w:widowControl w:val="0"/>
              <w:snapToGrid w:val="0"/>
              <w:spacing w:line="360" w:lineRule="auto"/>
              <w:ind w:left="31680" w:hanging="1946" w:hangingChars="695"/>
              <w:jc w:val="center"/>
              <w:textAlignment w:val="auto"/>
              <w:rPr>
                <w:rFonts w:ascii="宋体" w:hAnsi="Calibri" w:cs="宋体"/>
                <w:kern w:val="2"/>
                <w:sz w:val="28"/>
                <w:szCs w:val="28"/>
                <w:u w:val="none"/>
              </w:rPr>
            </w:pPr>
            <w:r>
              <w:rPr>
                <w:rFonts w:hint="eastAsia" w:ascii="宋体" w:hAnsi="宋体" w:cs="宋体"/>
                <w:kern w:val="2"/>
                <w:sz w:val="28"/>
                <w:szCs w:val="28"/>
                <w:u w:val="none"/>
              </w:rPr>
              <w:t>金额（元）</w:t>
            </w:r>
          </w:p>
        </w:tc>
        <w:tc>
          <w:tcPr>
            <w:tcW w:w="1290" w:type="dxa"/>
            <w:shd w:val="clear" w:color="auto" w:fill="CCFFCC"/>
            <w:vAlign w:val="center"/>
          </w:tcPr>
          <w:p>
            <w:pPr>
              <w:widowControl w:val="0"/>
              <w:snapToGrid w:val="0"/>
              <w:spacing w:line="360" w:lineRule="auto"/>
              <w:ind w:left="31680" w:hanging="1946" w:hangingChars="695"/>
              <w:jc w:val="center"/>
              <w:textAlignment w:val="auto"/>
              <w:rPr>
                <w:rFonts w:hint="eastAsia" w:ascii="宋体" w:hAnsi="Calibri" w:eastAsia="宋体" w:cs="宋体"/>
                <w:kern w:val="2"/>
                <w:sz w:val="28"/>
                <w:szCs w:val="28"/>
                <w:u w:val="none"/>
                <w:lang w:eastAsia="zh-CN"/>
              </w:rPr>
            </w:pPr>
            <w:r>
              <w:rPr>
                <w:rFonts w:hint="eastAsia" w:ascii="宋体" w:hAnsi="宋体" w:cs="宋体"/>
                <w:kern w:val="2"/>
                <w:sz w:val="28"/>
                <w:szCs w:val="28"/>
                <w:u w:val="none"/>
                <w:lang w:eastAsia="zh-CN"/>
              </w:rPr>
              <w:t>开发者</w:t>
            </w:r>
          </w:p>
        </w:tc>
        <w:tc>
          <w:tcPr>
            <w:tcW w:w="2235" w:type="dxa"/>
            <w:shd w:val="clear" w:color="auto" w:fill="CCFFCC"/>
            <w:vAlign w:val="center"/>
          </w:tcPr>
          <w:p>
            <w:pPr>
              <w:widowControl w:val="0"/>
              <w:snapToGrid w:val="0"/>
              <w:spacing w:line="360" w:lineRule="auto"/>
              <w:ind w:left="31680" w:hanging="1946" w:hangingChars="695"/>
              <w:jc w:val="center"/>
              <w:textAlignment w:val="auto"/>
              <w:rPr>
                <w:rFonts w:hint="eastAsia" w:ascii="宋体" w:hAnsi="宋体" w:cs="宋体"/>
                <w:kern w:val="2"/>
                <w:sz w:val="28"/>
                <w:szCs w:val="28"/>
                <w:u w:val="none"/>
                <w:lang w:eastAsia="zh-CN"/>
              </w:rPr>
            </w:pPr>
            <w:r>
              <w:rPr>
                <w:rFonts w:hint="eastAsia" w:ascii="宋体" w:hAnsi="宋体" w:cs="宋体"/>
                <w:kern w:val="2"/>
                <w:sz w:val="28"/>
                <w:szCs w:val="28"/>
                <w:u w:val="none"/>
                <w:lang w:eastAsia="zh-CN"/>
              </w:rPr>
              <w:t>知识产权所有者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825"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1395"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1395"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480"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780"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1380"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1425"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1290"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2235"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825"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1395"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1395"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480"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780"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1380"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1425"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1290"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2235"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825" w:type="dxa"/>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2790" w:type="dxa"/>
            <w:gridSpan w:val="2"/>
            <w:vAlign w:val="center"/>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r>
              <w:rPr>
                <w:rFonts w:hint="eastAsia" w:ascii="宋体" w:hAnsi="宋体" w:cs="宋体"/>
                <w:kern w:val="2"/>
                <w:sz w:val="28"/>
                <w:szCs w:val="28"/>
                <w:u w:val="none"/>
              </w:rPr>
              <w:t>合计金额（元）</w:t>
            </w:r>
          </w:p>
        </w:tc>
        <w:tc>
          <w:tcPr>
            <w:tcW w:w="5355" w:type="dxa"/>
            <w:gridSpan w:val="5"/>
            <w:vAlign w:val="center"/>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c>
          <w:tcPr>
            <w:tcW w:w="2235" w:type="dxa"/>
            <w:vAlign w:val="center"/>
          </w:tcPr>
          <w:p>
            <w:pPr>
              <w:widowControl w:val="0"/>
              <w:snapToGrid w:val="0"/>
              <w:spacing w:line="360" w:lineRule="auto"/>
              <w:ind w:left="31680" w:hanging="1946" w:hangingChars="695"/>
              <w:jc w:val="left"/>
              <w:textAlignment w:val="auto"/>
              <w:rPr>
                <w:rFonts w:ascii="宋体" w:hAnsi="Calibri" w:cs="Times New Roman"/>
                <w:kern w:val="2"/>
                <w:sz w:val="28"/>
                <w:szCs w:val="28"/>
                <w:u w:val="none"/>
              </w:rPr>
            </w:pPr>
          </w:p>
        </w:tc>
      </w:tr>
    </w:tbl>
    <w:p>
      <w:pPr>
        <w:widowControl w:val="0"/>
        <w:snapToGrid w:val="0"/>
        <w:spacing w:line="360" w:lineRule="auto"/>
        <w:ind w:left="31680" w:hanging="1954" w:hangingChars="695"/>
        <w:jc w:val="left"/>
        <w:textAlignment w:val="auto"/>
        <w:rPr>
          <w:rFonts w:ascii="宋体" w:hAnsi="Calibri" w:cs="Times New Roman"/>
          <w:b/>
          <w:bCs/>
          <w:kern w:val="2"/>
          <w:sz w:val="28"/>
          <w:szCs w:val="28"/>
          <w:u w:val="none"/>
        </w:rPr>
      </w:pPr>
      <w:r>
        <w:rPr>
          <w:rFonts w:hint="eastAsia" w:ascii="宋体" w:hAnsi="宋体" w:cs="宋体"/>
          <w:b/>
          <w:bCs/>
          <w:kern w:val="2"/>
          <w:sz w:val="28"/>
          <w:szCs w:val="28"/>
          <w:u w:val="none"/>
        </w:rPr>
        <w:t>说明：</w:t>
      </w:r>
      <w:r>
        <w:rPr>
          <w:rFonts w:ascii="宋体" w:hAnsi="宋体" w:cs="宋体"/>
          <w:b/>
          <w:bCs/>
          <w:kern w:val="2"/>
          <w:sz w:val="28"/>
          <w:szCs w:val="28"/>
          <w:u w:val="none"/>
        </w:rPr>
        <w:t>1</w:t>
      </w:r>
      <w:r>
        <w:rPr>
          <w:rFonts w:hint="eastAsia" w:ascii="宋体" w:hAnsi="宋体" w:cs="宋体"/>
          <w:b/>
          <w:bCs/>
          <w:kern w:val="2"/>
          <w:sz w:val="28"/>
          <w:szCs w:val="28"/>
          <w:u w:val="none"/>
        </w:rPr>
        <w:t>、本表的“合计金额”为最终报价。</w:t>
      </w:r>
    </w:p>
    <w:p>
      <w:pPr>
        <w:widowControl w:val="0"/>
        <w:snapToGrid w:val="0"/>
        <w:spacing w:line="360" w:lineRule="auto"/>
        <w:ind w:left="687" w:leftChars="327" w:firstLine="138" w:firstLineChars="49"/>
        <w:jc w:val="left"/>
        <w:textAlignment w:val="auto"/>
        <w:rPr>
          <w:rFonts w:ascii="宋体" w:hAnsi="Calibri" w:cs="Times New Roman"/>
          <w:b/>
          <w:bCs/>
          <w:kern w:val="2"/>
          <w:sz w:val="28"/>
          <w:szCs w:val="28"/>
          <w:u w:val="none"/>
        </w:rPr>
      </w:pPr>
      <w:r>
        <w:rPr>
          <w:rFonts w:ascii="宋体" w:hAnsi="宋体" w:cs="宋体"/>
          <w:b/>
          <w:bCs/>
          <w:kern w:val="2"/>
          <w:sz w:val="28"/>
          <w:szCs w:val="28"/>
          <w:u w:val="none"/>
        </w:rPr>
        <w:t>2</w:t>
      </w:r>
      <w:r>
        <w:rPr>
          <w:rFonts w:hint="eastAsia" w:ascii="宋体" w:hAnsi="宋体" w:cs="宋体"/>
          <w:b/>
          <w:bCs/>
          <w:kern w:val="2"/>
          <w:sz w:val="28"/>
          <w:szCs w:val="28"/>
          <w:u w:val="none"/>
        </w:rPr>
        <w:t>、本表“合计金额”须与“投标报价函”中对应的“投标报价”相同。</w:t>
      </w:r>
    </w:p>
    <w:p>
      <w:pPr>
        <w:widowControl w:val="0"/>
        <w:snapToGrid w:val="0"/>
        <w:spacing w:line="360" w:lineRule="auto"/>
        <w:jc w:val="left"/>
        <w:textAlignment w:val="auto"/>
        <w:rPr>
          <w:rFonts w:hint="eastAsia" w:ascii="宋体" w:hAnsi="宋体" w:cs="宋体"/>
          <w:b/>
          <w:bCs/>
          <w:color w:val="auto"/>
          <w:kern w:val="2"/>
          <w:sz w:val="28"/>
          <w:szCs w:val="28"/>
          <w:highlight w:val="none"/>
          <w:u w:val="none"/>
        </w:rPr>
      </w:pPr>
    </w:p>
    <w:p>
      <w:pPr>
        <w:widowControl w:val="0"/>
        <w:snapToGrid w:val="0"/>
        <w:spacing w:line="360" w:lineRule="auto"/>
        <w:jc w:val="left"/>
        <w:textAlignment w:val="auto"/>
        <w:rPr>
          <w:rFonts w:hint="eastAsia" w:ascii="宋体" w:hAnsi="宋体" w:cs="宋体"/>
          <w:b/>
          <w:bCs/>
          <w:color w:val="auto"/>
          <w:kern w:val="2"/>
          <w:sz w:val="28"/>
          <w:szCs w:val="28"/>
          <w:highlight w:val="none"/>
          <w:u w:val="none"/>
        </w:rPr>
      </w:pPr>
    </w:p>
    <w:p>
      <w:pPr>
        <w:widowControl w:val="0"/>
        <w:snapToGrid w:val="0"/>
        <w:spacing w:line="360" w:lineRule="auto"/>
        <w:jc w:val="left"/>
        <w:textAlignment w:val="auto"/>
        <w:rPr>
          <w:rFonts w:hint="eastAsia" w:ascii="宋体" w:hAnsi="宋体" w:cs="宋体"/>
          <w:b/>
          <w:bCs/>
          <w:color w:val="auto"/>
          <w:kern w:val="2"/>
          <w:sz w:val="28"/>
          <w:szCs w:val="28"/>
          <w:highlight w:val="none"/>
          <w:u w:val="none"/>
        </w:rPr>
      </w:pPr>
    </w:p>
    <w:p>
      <w:pPr>
        <w:widowControl w:val="0"/>
        <w:snapToGrid w:val="0"/>
        <w:spacing w:line="360" w:lineRule="auto"/>
        <w:jc w:val="left"/>
        <w:textAlignment w:val="auto"/>
        <w:rPr>
          <w:rFonts w:ascii="宋体" w:hAnsi="宋体" w:cs="宋体"/>
          <w:b/>
          <w:bCs/>
          <w:color w:val="auto"/>
          <w:kern w:val="2"/>
          <w:sz w:val="28"/>
          <w:szCs w:val="28"/>
          <w:highlight w:val="none"/>
          <w:u w:val="none"/>
        </w:rPr>
      </w:pPr>
      <w:r>
        <w:rPr>
          <w:rFonts w:hint="eastAsia" w:ascii="宋体" w:hAnsi="宋体" w:cs="宋体"/>
          <w:b/>
          <w:bCs/>
          <w:color w:val="auto"/>
          <w:kern w:val="2"/>
          <w:sz w:val="28"/>
          <w:szCs w:val="28"/>
          <w:highlight w:val="none"/>
          <w:u w:val="none"/>
        </w:rPr>
        <w:t>附件（</w:t>
      </w:r>
      <w:r>
        <w:rPr>
          <w:rFonts w:hint="eastAsia" w:ascii="宋体" w:hAnsi="宋体" w:cs="宋体"/>
          <w:b/>
          <w:bCs/>
          <w:color w:val="auto"/>
          <w:kern w:val="2"/>
          <w:sz w:val="28"/>
          <w:szCs w:val="28"/>
          <w:highlight w:val="none"/>
          <w:u w:val="none"/>
          <w:lang w:eastAsia="zh-CN"/>
        </w:rPr>
        <w:t>三</w:t>
      </w:r>
      <w:r>
        <w:rPr>
          <w:rFonts w:hint="eastAsia" w:ascii="宋体" w:hAnsi="宋体" w:cs="宋体"/>
          <w:b/>
          <w:bCs/>
          <w:color w:val="auto"/>
          <w:kern w:val="2"/>
          <w:sz w:val="28"/>
          <w:szCs w:val="28"/>
          <w:highlight w:val="none"/>
          <w:u w:val="none"/>
        </w:rPr>
        <w:t>）</w:t>
      </w:r>
    </w:p>
    <w:p>
      <w:pPr>
        <w:widowControl w:val="0"/>
        <w:spacing w:after="120" w:line="500" w:lineRule="exact"/>
        <w:ind w:left="2932" w:leftChars="200" w:hanging="2512"/>
        <w:jc w:val="center"/>
        <w:textAlignment w:val="auto"/>
        <w:rPr>
          <w:rFonts w:ascii="宋体" w:hAnsi="宋体" w:cs="宋体"/>
          <w:b/>
          <w:color w:val="auto"/>
          <w:kern w:val="2"/>
          <w:sz w:val="36"/>
          <w:szCs w:val="36"/>
          <w:highlight w:val="none"/>
          <w:u w:val="none"/>
        </w:rPr>
      </w:pPr>
      <w:r>
        <w:rPr>
          <w:rFonts w:hint="eastAsia" w:ascii="宋体" w:hAnsi="宋体" w:cs="宋体"/>
          <w:b/>
          <w:color w:val="auto"/>
          <w:kern w:val="2"/>
          <w:sz w:val="36"/>
          <w:szCs w:val="36"/>
          <w:highlight w:val="none"/>
          <w:u w:val="none"/>
        </w:rPr>
        <w:t>法定代表人身份证明书</w:t>
      </w:r>
    </w:p>
    <w:p>
      <w:pPr>
        <w:widowControl w:val="0"/>
        <w:spacing w:after="120" w:line="500" w:lineRule="exact"/>
        <w:ind w:left="2366" w:leftChars="200" w:hanging="1946"/>
        <w:textAlignment w:val="auto"/>
        <w:rPr>
          <w:rFonts w:ascii="宋体" w:hAnsi="宋体" w:cs="宋体"/>
          <w:b/>
          <w:color w:val="auto"/>
          <w:kern w:val="2"/>
          <w:sz w:val="28"/>
          <w:szCs w:val="28"/>
          <w:highlight w:val="none"/>
          <w:u w:val="none"/>
        </w:rPr>
      </w:pPr>
      <w:r>
        <w:rPr>
          <w:rFonts w:ascii="宋体" w:hAnsi="宋体" w:cs="宋体"/>
          <w:color w:val="auto"/>
          <w:kern w:val="2"/>
          <w:sz w:val="28"/>
          <w:szCs w:val="28"/>
          <w:highlight w:val="none"/>
          <w:u w:val="none"/>
        </w:rPr>
        <w:t xml:space="preserve">               </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单位名称：</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single"/>
        </w:rPr>
      </w:pPr>
      <w:r>
        <w:rPr>
          <w:rFonts w:hint="eastAsia" w:ascii="宋体" w:hAnsi="宋体" w:cs="宋体"/>
          <w:color w:val="auto"/>
          <w:kern w:val="2"/>
          <w:sz w:val="28"/>
          <w:szCs w:val="28"/>
          <w:highlight w:val="none"/>
          <w:u w:val="none"/>
        </w:rPr>
        <w:t>单位性质：</w:t>
      </w:r>
      <w:r>
        <w:rPr>
          <w:rFonts w:ascii="宋体" w:hAnsi="宋体" w:cs="宋体"/>
          <w:color w:val="auto"/>
          <w:kern w:val="2"/>
          <w:sz w:val="28"/>
          <w:szCs w:val="28"/>
          <w:highlight w:val="none"/>
          <w:u w:val="single"/>
        </w:rPr>
        <w:t xml:space="preserve">                                               </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地</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址：</w:t>
      </w:r>
      <w:r>
        <w:rPr>
          <w:rFonts w:ascii="宋体" w:hAnsi="Calibri" w:cs="宋体"/>
          <w:color w:val="auto"/>
          <w:kern w:val="2"/>
          <w:sz w:val="28"/>
          <w:szCs w:val="28"/>
          <w:highlight w:val="none"/>
          <w:u w:val="single"/>
        </w:rPr>
        <w:tab/>
      </w:r>
      <w:r>
        <w:rPr>
          <w:rFonts w:ascii="宋体" w:hAnsi="Calibri" w:cs="宋体"/>
          <w:color w:val="auto"/>
          <w:kern w:val="2"/>
          <w:sz w:val="28"/>
          <w:szCs w:val="28"/>
          <w:highlight w:val="none"/>
          <w:u w:val="single"/>
        </w:rPr>
        <w:tab/>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single"/>
        </w:rPr>
        <w:tab/>
      </w:r>
      <w:r>
        <w:rPr>
          <w:rFonts w:ascii="宋体" w:hAnsi="宋体" w:cs="宋体"/>
          <w:color w:val="auto"/>
          <w:kern w:val="2"/>
          <w:sz w:val="28"/>
          <w:szCs w:val="28"/>
          <w:highlight w:val="none"/>
          <w:u w:val="single"/>
        </w:rPr>
        <w:tab/>
      </w:r>
      <w:r>
        <w:rPr>
          <w:rFonts w:ascii="宋体" w:hAnsi="宋体" w:cs="宋体"/>
          <w:color w:val="auto"/>
          <w:kern w:val="2"/>
          <w:sz w:val="28"/>
          <w:szCs w:val="28"/>
          <w:highlight w:val="none"/>
          <w:u w:val="single"/>
        </w:rPr>
        <w:tab/>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single"/>
        </w:rPr>
        <w:tab/>
      </w:r>
      <w:r>
        <w:rPr>
          <w:rFonts w:ascii="宋体" w:hAnsi="宋体" w:cs="宋体"/>
          <w:color w:val="auto"/>
          <w:kern w:val="2"/>
          <w:sz w:val="28"/>
          <w:szCs w:val="28"/>
          <w:highlight w:val="none"/>
          <w:u w:val="single"/>
        </w:rPr>
        <w:tab/>
      </w:r>
      <w:r>
        <w:rPr>
          <w:rFonts w:ascii="宋体" w:hAnsi="宋体" w:cs="宋体"/>
          <w:color w:val="auto"/>
          <w:kern w:val="2"/>
          <w:sz w:val="28"/>
          <w:szCs w:val="28"/>
          <w:highlight w:val="none"/>
          <w:u w:val="single"/>
        </w:rPr>
        <w:tab/>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single"/>
        </w:rPr>
        <w:tab/>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成立时间：</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年</w:t>
      </w:r>
      <w:r>
        <w:rPr>
          <w:rFonts w:ascii="宋体" w:hAnsi="宋体" w:cs="宋体"/>
          <w:color w:val="auto"/>
          <w:kern w:val="2"/>
          <w:sz w:val="28"/>
          <w:szCs w:val="28"/>
          <w:highlight w:val="none"/>
          <w:u w:val="none"/>
        </w:rPr>
        <w:t xml:space="preserve"> </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月</w:t>
      </w:r>
      <w:r>
        <w:rPr>
          <w:rFonts w:ascii="宋体" w:hAnsi="宋体" w:cs="宋体"/>
          <w:color w:val="auto"/>
          <w:kern w:val="2"/>
          <w:sz w:val="28"/>
          <w:szCs w:val="28"/>
          <w:highlight w:val="none"/>
          <w:u w:val="none"/>
        </w:rPr>
        <w:t xml:space="preserve"> </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日</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经营期限：</w:t>
      </w:r>
      <w:r>
        <w:rPr>
          <w:rFonts w:ascii="宋体" w:hAnsi="宋体" w:cs="宋体"/>
          <w:color w:val="auto"/>
          <w:kern w:val="2"/>
          <w:sz w:val="28"/>
          <w:szCs w:val="28"/>
          <w:highlight w:val="none"/>
          <w:u w:val="single"/>
        </w:rPr>
        <w:t xml:space="preserve">                                           </w:t>
      </w:r>
      <w:r>
        <w:rPr>
          <w:rFonts w:ascii="宋体" w:hAnsi="Calibri" w:cs="宋体"/>
          <w:color w:val="auto"/>
          <w:kern w:val="2"/>
          <w:sz w:val="28"/>
          <w:szCs w:val="28"/>
          <w:highlight w:val="none"/>
          <w:u w:val="none"/>
        </w:rPr>
        <w:tab/>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single"/>
        </w:rPr>
      </w:pPr>
      <w:r>
        <w:rPr>
          <w:rFonts w:hint="eastAsia" w:ascii="宋体" w:hAnsi="宋体" w:cs="宋体"/>
          <w:color w:val="auto"/>
          <w:kern w:val="2"/>
          <w:sz w:val="28"/>
          <w:szCs w:val="28"/>
          <w:highlight w:val="none"/>
          <w:u w:val="none"/>
        </w:rPr>
        <w:t>姓</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名：</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性别：</w:t>
      </w:r>
      <w:r>
        <w:rPr>
          <w:rFonts w:ascii="宋体" w:hAnsi="宋体" w:cs="宋体"/>
          <w:color w:val="auto"/>
          <w:kern w:val="2"/>
          <w:sz w:val="28"/>
          <w:szCs w:val="28"/>
          <w:highlight w:val="none"/>
          <w:u w:val="single"/>
        </w:rPr>
        <w:t xml:space="preserve">                   </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single"/>
        </w:rPr>
      </w:pPr>
      <w:r>
        <w:rPr>
          <w:rFonts w:hint="eastAsia" w:ascii="宋体" w:hAnsi="宋体" w:cs="宋体"/>
          <w:color w:val="auto"/>
          <w:kern w:val="2"/>
          <w:sz w:val="28"/>
          <w:szCs w:val="28"/>
          <w:highlight w:val="none"/>
          <w:u w:val="none"/>
        </w:rPr>
        <w:t>年</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龄：</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职务：</w:t>
      </w:r>
      <w:r>
        <w:rPr>
          <w:rFonts w:ascii="宋体" w:hAnsi="Calibri" w:cs="宋体"/>
          <w:color w:val="auto"/>
          <w:kern w:val="2"/>
          <w:sz w:val="28"/>
          <w:szCs w:val="28"/>
          <w:highlight w:val="none"/>
          <w:u w:val="none"/>
        </w:rPr>
        <w:tab/>
      </w:r>
      <w:r>
        <w:rPr>
          <w:rFonts w:ascii="宋体" w:hAnsi="宋体" w:cs="宋体"/>
          <w:color w:val="auto"/>
          <w:kern w:val="2"/>
          <w:sz w:val="28"/>
          <w:szCs w:val="28"/>
          <w:highlight w:val="none"/>
          <w:u w:val="single"/>
        </w:rPr>
        <w:t xml:space="preserve">                   </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系</w:t>
      </w:r>
      <w:r>
        <w:rPr>
          <w:rFonts w:ascii="宋体" w:hAnsi="宋体" w:cs="宋体"/>
          <w:color w:val="auto"/>
          <w:kern w:val="2"/>
          <w:sz w:val="28"/>
          <w:szCs w:val="28"/>
          <w:highlight w:val="none"/>
          <w:u w:val="none"/>
        </w:rPr>
        <w:t xml:space="preserve">  </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single"/>
        </w:rPr>
        <w:t>（投标人单位名称）</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的法定代表人。</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none"/>
        </w:rPr>
      </w:pPr>
    </w:p>
    <w:p>
      <w:pPr>
        <w:widowControl w:val="0"/>
        <w:spacing w:before="62" w:beforeLines="20" w:after="62" w:afterLines="20" w:line="500" w:lineRule="exact"/>
        <w:ind w:left="420" w:leftChars="200" w:firstLine="280" w:firstLineChars="100"/>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特此证明。</w:t>
      </w:r>
    </w:p>
    <w:p>
      <w:pPr>
        <w:widowControl w:val="0"/>
        <w:tabs>
          <w:tab w:val="left" w:pos="720"/>
          <w:tab w:val="left" w:pos="900"/>
        </w:tabs>
        <w:spacing w:before="62" w:beforeLines="20" w:after="62" w:afterLines="20" w:line="500" w:lineRule="exact"/>
        <w:ind w:firstLine="560" w:firstLineChars="200"/>
        <w:textAlignment w:val="auto"/>
        <w:rPr>
          <w:rFonts w:ascii="宋体" w:hAnsi="Calibri" w:cs="宋体"/>
          <w:color w:val="auto"/>
          <w:kern w:val="2"/>
          <w:sz w:val="28"/>
          <w:szCs w:val="28"/>
          <w:highlight w:val="none"/>
          <w:u w:val="none"/>
        </w:rPr>
      </w:pPr>
    </w:p>
    <w:p>
      <w:pPr>
        <w:widowControl w:val="0"/>
        <w:tabs>
          <w:tab w:val="left" w:pos="720"/>
          <w:tab w:val="left" w:pos="900"/>
        </w:tabs>
        <w:spacing w:before="62" w:beforeLines="20" w:after="62" w:afterLines="20" w:line="500" w:lineRule="exact"/>
        <w:ind w:left="1946" w:hanging="1946"/>
        <w:jc w:val="right"/>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投标人：</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single"/>
        </w:rPr>
        <w:t>（盖公章）</w:t>
      </w:r>
    </w:p>
    <w:p>
      <w:pPr>
        <w:widowControl w:val="0"/>
        <w:spacing w:before="62" w:beforeLines="20" w:after="62" w:afterLines="20" w:line="500" w:lineRule="exact"/>
        <w:ind w:left="1946" w:hanging="1946"/>
        <w:jc w:val="righ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日</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期：</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年</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月</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日</w:t>
      </w:r>
    </w:p>
    <w:p>
      <w:pPr>
        <w:widowControl w:val="0"/>
        <w:spacing w:line="240" w:lineRule="auto"/>
        <w:textAlignment w:val="auto"/>
        <w:rPr>
          <w:rFonts w:ascii="宋体" w:hAnsi="宋体" w:cs="宋体"/>
          <w:color w:val="auto"/>
          <w:kern w:val="2"/>
          <w:sz w:val="28"/>
          <w:szCs w:val="28"/>
          <w:highlight w:val="none"/>
          <w:u w:val="none"/>
        </w:rPr>
      </w:pPr>
    </w:p>
    <w:p>
      <w:pPr>
        <w:widowControl w:val="0"/>
        <w:spacing w:line="240" w:lineRule="auto"/>
        <w:textAlignment w:val="auto"/>
        <w:rPr>
          <w:rFonts w:ascii="宋体" w:hAnsi="宋体" w:cs="宋体"/>
          <w:color w:val="auto"/>
          <w:kern w:val="2"/>
          <w:sz w:val="28"/>
          <w:szCs w:val="28"/>
          <w:highlight w:val="none"/>
          <w:u w:val="none"/>
        </w:rPr>
      </w:pPr>
    </w:p>
    <w:p>
      <w:pPr>
        <w:widowControl w:val="0"/>
        <w:snapToGrid w:val="0"/>
        <w:spacing w:line="360" w:lineRule="auto"/>
        <w:ind w:left="1954" w:hanging="1954"/>
        <w:jc w:val="left"/>
        <w:textAlignment w:val="auto"/>
        <w:rPr>
          <w:rFonts w:ascii="宋体" w:hAnsi="宋体" w:cs="宋体"/>
          <w:b/>
          <w:bCs/>
          <w:color w:val="auto"/>
          <w:kern w:val="2"/>
          <w:sz w:val="28"/>
          <w:szCs w:val="28"/>
          <w:highlight w:val="none"/>
          <w:u w:val="none"/>
        </w:rPr>
      </w:pPr>
    </w:p>
    <w:p>
      <w:pPr>
        <w:widowControl w:val="0"/>
        <w:snapToGrid w:val="0"/>
        <w:spacing w:line="360" w:lineRule="auto"/>
        <w:ind w:left="1954" w:hanging="1954"/>
        <w:jc w:val="left"/>
        <w:textAlignment w:val="auto"/>
        <w:rPr>
          <w:rFonts w:ascii="宋体" w:hAnsi="宋体" w:cs="宋体"/>
          <w:b/>
          <w:bCs/>
          <w:color w:val="auto"/>
          <w:kern w:val="2"/>
          <w:sz w:val="28"/>
          <w:szCs w:val="28"/>
          <w:highlight w:val="none"/>
          <w:u w:val="none"/>
        </w:rPr>
      </w:pPr>
    </w:p>
    <w:p>
      <w:pPr>
        <w:widowControl w:val="0"/>
        <w:snapToGrid w:val="0"/>
        <w:spacing w:line="360" w:lineRule="auto"/>
        <w:ind w:left="1954" w:hanging="1954"/>
        <w:jc w:val="left"/>
        <w:textAlignment w:val="auto"/>
        <w:rPr>
          <w:rFonts w:ascii="宋体" w:hAnsi="宋体" w:cs="宋体"/>
          <w:b/>
          <w:bCs/>
          <w:color w:val="auto"/>
          <w:kern w:val="2"/>
          <w:sz w:val="28"/>
          <w:szCs w:val="28"/>
          <w:highlight w:val="none"/>
          <w:u w:val="none"/>
        </w:rPr>
      </w:pPr>
    </w:p>
    <w:p>
      <w:pPr>
        <w:widowControl w:val="0"/>
        <w:snapToGrid w:val="0"/>
        <w:spacing w:line="360" w:lineRule="auto"/>
        <w:ind w:left="1954" w:hanging="1954"/>
        <w:jc w:val="left"/>
        <w:textAlignment w:val="auto"/>
        <w:rPr>
          <w:rFonts w:ascii="宋体" w:hAnsi="宋体" w:cs="宋体"/>
          <w:b/>
          <w:bCs/>
          <w:color w:val="auto"/>
          <w:kern w:val="2"/>
          <w:sz w:val="28"/>
          <w:szCs w:val="28"/>
          <w:highlight w:val="none"/>
          <w:u w:val="none"/>
        </w:rPr>
      </w:pPr>
    </w:p>
    <w:p>
      <w:pPr>
        <w:widowControl w:val="0"/>
        <w:snapToGrid w:val="0"/>
        <w:spacing w:line="360" w:lineRule="auto"/>
        <w:jc w:val="left"/>
        <w:textAlignment w:val="auto"/>
        <w:rPr>
          <w:rFonts w:ascii="宋体" w:hAnsi="宋体" w:cs="宋体"/>
          <w:b/>
          <w:bCs/>
          <w:color w:val="auto"/>
          <w:kern w:val="2"/>
          <w:sz w:val="28"/>
          <w:szCs w:val="28"/>
          <w:highlight w:val="none"/>
          <w:u w:val="none"/>
        </w:rPr>
      </w:pPr>
    </w:p>
    <w:p>
      <w:pPr>
        <w:widowControl w:val="0"/>
        <w:jc w:val="both"/>
        <w:rPr>
          <w:rFonts w:ascii="宋体" w:hAnsi="宋体" w:eastAsia="宋体" w:cs="宋体"/>
          <w:b/>
          <w:bCs/>
          <w:color w:val="auto"/>
          <w:kern w:val="0"/>
          <w:sz w:val="28"/>
          <w:szCs w:val="28"/>
          <w:highlight w:val="none"/>
          <w:lang w:val="en-US" w:eastAsia="zh-CN" w:bidi="ar-SA"/>
        </w:rPr>
      </w:pPr>
    </w:p>
    <w:p>
      <w:pPr>
        <w:widowControl w:val="0"/>
        <w:snapToGrid w:val="0"/>
        <w:spacing w:line="360" w:lineRule="auto"/>
        <w:ind w:left="1954" w:hanging="1954"/>
        <w:jc w:val="left"/>
        <w:textAlignment w:val="auto"/>
        <w:rPr>
          <w:rFonts w:ascii="宋体" w:hAnsi="宋体" w:cs="宋体"/>
          <w:b/>
          <w:bCs/>
          <w:color w:val="auto"/>
          <w:kern w:val="2"/>
          <w:sz w:val="28"/>
          <w:szCs w:val="28"/>
          <w:highlight w:val="none"/>
          <w:u w:val="none"/>
        </w:rPr>
      </w:pPr>
      <w:r>
        <w:rPr>
          <w:rFonts w:hint="eastAsia" w:ascii="宋体" w:hAnsi="宋体" w:cs="宋体"/>
          <w:b/>
          <w:bCs/>
          <w:color w:val="auto"/>
          <w:kern w:val="2"/>
          <w:sz w:val="28"/>
          <w:szCs w:val="28"/>
          <w:highlight w:val="none"/>
          <w:u w:val="none"/>
        </w:rPr>
        <w:t>附件（</w:t>
      </w:r>
      <w:r>
        <w:rPr>
          <w:rFonts w:hint="eastAsia" w:ascii="宋体" w:hAnsi="宋体" w:cs="宋体"/>
          <w:b/>
          <w:bCs/>
          <w:color w:val="auto"/>
          <w:kern w:val="2"/>
          <w:sz w:val="28"/>
          <w:szCs w:val="28"/>
          <w:highlight w:val="none"/>
          <w:u w:val="none"/>
          <w:lang w:eastAsia="zh-CN"/>
        </w:rPr>
        <w:t>四</w:t>
      </w:r>
      <w:r>
        <w:rPr>
          <w:rFonts w:hint="eastAsia" w:ascii="宋体" w:hAnsi="宋体" w:cs="宋体"/>
          <w:b/>
          <w:bCs/>
          <w:color w:val="auto"/>
          <w:kern w:val="2"/>
          <w:sz w:val="28"/>
          <w:szCs w:val="28"/>
          <w:highlight w:val="none"/>
          <w:u w:val="none"/>
        </w:rPr>
        <w:t>）</w:t>
      </w:r>
    </w:p>
    <w:p>
      <w:pPr>
        <w:widowControl w:val="0"/>
        <w:spacing w:after="120" w:line="500" w:lineRule="exact"/>
        <w:ind w:left="2932" w:leftChars="200" w:hanging="2512"/>
        <w:jc w:val="center"/>
        <w:textAlignment w:val="auto"/>
        <w:rPr>
          <w:rFonts w:ascii="宋体" w:hAnsi="宋体" w:cs="宋体"/>
          <w:b/>
          <w:color w:val="auto"/>
          <w:kern w:val="2"/>
          <w:sz w:val="36"/>
          <w:szCs w:val="36"/>
          <w:highlight w:val="none"/>
          <w:u w:val="none"/>
        </w:rPr>
      </w:pPr>
      <w:r>
        <w:rPr>
          <w:rFonts w:hint="eastAsia" w:ascii="宋体" w:hAnsi="宋体" w:cs="宋体"/>
          <w:b/>
          <w:color w:val="auto"/>
          <w:kern w:val="2"/>
          <w:sz w:val="36"/>
          <w:szCs w:val="36"/>
          <w:highlight w:val="none"/>
          <w:u w:val="none"/>
        </w:rPr>
        <w:t>法定代表人授权委托书</w:t>
      </w:r>
    </w:p>
    <w:p>
      <w:pPr>
        <w:widowControl w:val="0"/>
        <w:spacing w:after="120" w:line="500" w:lineRule="exact"/>
        <w:ind w:left="420" w:leftChars="200"/>
        <w:textAlignment w:val="auto"/>
        <w:rPr>
          <w:rFonts w:ascii="宋体" w:hAnsi="宋体" w:cs="宋体"/>
          <w:color w:val="auto"/>
          <w:kern w:val="2"/>
          <w:sz w:val="28"/>
          <w:szCs w:val="28"/>
          <w:highlight w:val="none"/>
          <w:u w:val="none"/>
        </w:rPr>
      </w:pPr>
    </w:p>
    <w:p>
      <w:pPr>
        <w:widowControl w:val="0"/>
        <w:adjustRightInd w:val="0"/>
        <w:snapToGrid w:val="0"/>
        <w:spacing w:line="440" w:lineRule="exact"/>
        <w:textAlignment w:val="auto"/>
        <w:rPr>
          <w:rFonts w:hint="eastAsia" w:ascii="宋体" w:hAnsi="宋体" w:cs="宋体"/>
          <w:color w:val="auto"/>
          <w:kern w:val="2"/>
          <w:sz w:val="24"/>
          <w:szCs w:val="21"/>
          <w:highlight w:val="none"/>
          <w:u w:val="none"/>
        </w:rPr>
      </w:pPr>
      <w:r>
        <w:rPr>
          <w:rFonts w:hint="eastAsia" w:ascii="宋体" w:hAnsi="宋体" w:cs="宋体"/>
          <w:color w:val="auto"/>
          <w:kern w:val="2"/>
          <w:sz w:val="24"/>
          <w:szCs w:val="21"/>
          <w:highlight w:val="none"/>
          <w:u w:val="none"/>
        </w:rPr>
        <w:t>致：安徽相王医疗健康股份有限公司</w:t>
      </w:r>
    </w:p>
    <w:p>
      <w:pPr>
        <w:widowControl w:val="0"/>
        <w:adjustRightInd w:val="0"/>
        <w:snapToGrid w:val="0"/>
        <w:spacing w:line="440" w:lineRule="exact"/>
        <w:ind w:firstLine="480" w:firstLineChars="200"/>
        <w:textAlignment w:val="auto"/>
        <w:rPr>
          <w:rFonts w:ascii="宋体" w:hAnsi="Calibri" w:cs="宋体"/>
          <w:color w:val="auto"/>
          <w:kern w:val="2"/>
          <w:sz w:val="24"/>
          <w:szCs w:val="21"/>
          <w:highlight w:val="none"/>
          <w:u w:val="none"/>
        </w:rPr>
      </w:pPr>
      <w:r>
        <w:rPr>
          <w:rFonts w:hint="eastAsia" w:ascii="宋体" w:hAnsi="宋体" w:cs="宋体"/>
          <w:color w:val="auto"/>
          <w:kern w:val="2"/>
          <w:sz w:val="24"/>
          <w:szCs w:val="21"/>
          <w:highlight w:val="none"/>
          <w:u w:val="none"/>
        </w:rPr>
        <w:t>本授权委托书声明：我</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none"/>
        </w:rPr>
        <w:t>（姓名）系</w:t>
      </w:r>
      <w:r>
        <w:rPr>
          <w:rFonts w:ascii="宋体" w:hAnsi="宋体" w:cs="宋体"/>
          <w:color w:val="auto"/>
          <w:kern w:val="2"/>
          <w:sz w:val="24"/>
          <w:szCs w:val="21"/>
          <w:highlight w:val="none"/>
          <w:u w:val="none"/>
        </w:rPr>
        <w:t xml:space="preserve"> </w:t>
      </w:r>
      <w:r>
        <w:rPr>
          <w:rFonts w:hint="eastAsia" w:ascii="宋体" w:hAnsi="宋体" w:cs="宋体"/>
          <w:color w:val="auto"/>
          <w:kern w:val="2"/>
          <w:sz w:val="24"/>
          <w:szCs w:val="21"/>
          <w:highlight w:val="none"/>
          <w:u w:val="single"/>
        </w:rPr>
        <w:t>（投</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single"/>
        </w:rPr>
        <w:t>标</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single"/>
        </w:rPr>
        <w:t>人</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single"/>
        </w:rPr>
        <w:t>名</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single"/>
        </w:rPr>
        <w:t>称）</w:t>
      </w:r>
      <w:r>
        <w:rPr>
          <w:rFonts w:hint="eastAsia" w:ascii="宋体" w:hAnsi="宋体" w:cs="宋体"/>
          <w:color w:val="auto"/>
          <w:kern w:val="2"/>
          <w:sz w:val="24"/>
          <w:szCs w:val="21"/>
          <w:highlight w:val="none"/>
          <w:u w:val="none"/>
        </w:rPr>
        <w:t>的法定代表人，现授权委托</w:t>
      </w:r>
      <w:r>
        <w:rPr>
          <w:rFonts w:ascii="宋体" w:hAnsi="宋体" w:cs="宋体"/>
          <w:color w:val="auto"/>
          <w:kern w:val="2"/>
          <w:sz w:val="24"/>
          <w:szCs w:val="21"/>
          <w:highlight w:val="none"/>
          <w:u w:val="none"/>
        </w:rPr>
        <w:t xml:space="preserve"> </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single"/>
        </w:rPr>
        <w:t>（单位名称）</w:t>
      </w:r>
      <w:r>
        <w:rPr>
          <w:rFonts w:ascii="宋体" w:hAnsi="宋体" w:cs="宋体"/>
          <w:color w:val="auto"/>
          <w:kern w:val="2"/>
          <w:sz w:val="24"/>
          <w:szCs w:val="21"/>
          <w:highlight w:val="none"/>
          <w:u w:val="none"/>
        </w:rPr>
        <w:t xml:space="preserve">   </w:t>
      </w:r>
      <w:r>
        <w:rPr>
          <w:rFonts w:hint="eastAsia" w:ascii="宋体" w:hAnsi="宋体" w:cs="宋体"/>
          <w:color w:val="auto"/>
          <w:kern w:val="2"/>
          <w:sz w:val="24"/>
          <w:szCs w:val="21"/>
          <w:highlight w:val="none"/>
          <w:u w:val="none"/>
        </w:rPr>
        <w:t>的</w:t>
      </w:r>
      <w:r>
        <w:rPr>
          <w:rFonts w:ascii="宋体" w:hAnsi="宋体" w:cs="宋体"/>
          <w:color w:val="auto"/>
          <w:kern w:val="2"/>
          <w:sz w:val="24"/>
          <w:szCs w:val="21"/>
          <w:highlight w:val="none"/>
          <w:u w:val="none"/>
        </w:rPr>
        <w:t xml:space="preserve"> </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single"/>
        </w:rPr>
        <w:t>（姓名）</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none"/>
        </w:rPr>
        <w:t>为我公司的合法代理人，就</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none"/>
        </w:rPr>
        <w:t>（项目名称）的投标，项目实施，以本公司的名义签署投标书，进行谈判、签署合同和处理与之有关的一切事宜。</w:t>
      </w:r>
    </w:p>
    <w:p>
      <w:pPr>
        <w:widowControl w:val="0"/>
        <w:adjustRightInd w:val="0"/>
        <w:snapToGrid w:val="0"/>
        <w:spacing w:after="120" w:line="440" w:lineRule="exact"/>
        <w:ind w:left="2088" w:leftChars="200" w:hanging="1668"/>
        <w:textAlignment w:val="auto"/>
        <w:rPr>
          <w:rFonts w:ascii="宋体" w:hAnsi="宋体" w:cs="宋体"/>
          <w:color w:val="auto"/>
          <w:kern w:val="2"/>
          <w:sz w:val="24"/>
          <w:szCs w:val="22"/>
          <w:highlight w:val="none"/>
          <w:u w:val="none"/>
        </w:rPr>
      </w:pPr>
      <w:r>
        <w:rPr>
          <w:rFonts w:hint="eastAsia" w:ascii="宋体" w:hAnsi="宋体" w:cs="宋体"/>
          <w:color w:val="auto"/>
          <w:kern w:val="2"/>
          <w:sz w:val="24"/>
          <w:szCs w:val="22"/>
          <w:highlight w:val="none"/>
          <w:u w:val="none"/>
        </w:rPr>
        <w:t>代理人无转委托权，特此委托。</w:t>
      </w:r>
    </w:p>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none"/>
        </w:rPr>
      </w:pPr>
    </w:p>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single"/>
        </w:rPr>
      </w:pPr>
      <w:r>
        <w:rPr>
          <w:rFonts w:hint="eastAsia" w:ascii="宋体" w:hAnsi="宋体" w:cs="宋体"/>
          <w:color w:val="auto"/>
          <w:kern w:val="2"/>
          <w:sz w:val="24"/>
          <w:szCs w:val="22"/>
          <w:highlight w:val="none"/>
          <w:u w:val="none"/>
        </w:rPr>
        <w:t>代</w:t>
      </w:r>
      <w:r>
        <w:rPr>
          <w:rFonts w:ascii="宋体" w:hAnsi="宋体" w:cs="宋体"/>
          <w:color w:val="auto"/>
          <w:kern w:val="2"/>
          <w:sz w:val="24"/>
          <w:szCs w:val="22"/>
          <w:highlight w:val="none"/>
          <w:u w:val="none"/>
        </w:rPr>
        <w:t xml:space="preserve">  </w:t>
      </w:r>
      <w:r>
        <w:rPr>
          <w:rFonts w:hint="eastAsia" w:ascii="宋体" w:hAnsi="宋体" w:cs="宋体"/>
          <w:color w:val="auto"/>
          <w:kern w:val="2"/>
          <w:sz w:val="24"/>
          <w:szCs w:val="22"/>
          <w:highlight w:val="none"/>
          <w:u w:val="none"/>
        </w:rPr>
        <w:t>理</w:t>
      </w:r>
      <w:r>
        <w:rPr>
          <w:rFonts w:ascii="宋体" w:hAnsi="宋体" w:cs="宋体"/>
          <w:color w:val="auto"/>
          <w:kern w:val="2"/>
          <w:sz w:val="24"/>
          <w:szCs w:val="22"/>
          <w:highlight w:val="none"/>
          <w:u w:val="none"/>
        </w:rPr>
        <w:t xml:space="preserve">  </w:t>
      </w:r>
      <w:r>
        <w:rPr>
          <w:rFonts w:hint="eastAsia" w:ascii="宋体" w:hAnsi="宋体" w:cs="宋体"/>
          <w:color w:val="auto"/>
          <w:kern w:val="2"/>
          <w:sz w:val="24"/>
          <w:szCs w:val="22"/>
          <w:highlight w:val="none"/>
          <w:u w:val="none"/>
        </w:rPr>
        <w:t>人：</w:t>
      </w:r>
      <w:r>
        <w:rPr>
          <w:rFonts w:ascii="宋体" w:hAnsi="宋体" w:cs="宋体"/>
          <w:color w:val="auto"/>
          <w:kern w:val="2"/>
          <w:sz w:val="24"/>
          <w:szCs w:val="22"/>
          <w:highlight w:val="none"/>
          <w:u w:val="single"/>
        </w:rPr>
        <w:t xml:space="preserve">   </w:t>
      </w:r>
      <w:r>
        <w:rPr>
          <w:rFonts w:hint="eastAsia" w:ascii="宋体" w:hAnsi="宋体" w:cs="宋体"/>
          <w:color w:val="auto"/>
          <w:kern w:val="2"/>
          <w:sz w:val="24"/>
          <w:szCs w:val="22"/>
          <w:highlight w:val="none"/>
          <w:u w:val="single"/>
        </w:rPr>
        <w:t>（签字）</w:t>
      </w:r>
      <w:r>
        <w:rPr>
          <w:rFonts w:ascii="宋体" w:hAnsi="宋体" w:cs="宋体"/>
          <w:color w:val="auto"/>
          <w:kern w:val="2"/>
          <w:sz w:val="24"/>
          <w:szCs w:val="22"/>
          <w:highlight w:val="none"/>
          <w:u w:val="single"/>
        </w:rPr>
        <w:t xml:space="preserve">   </w:t>
      </w:r>
      <w:r>
        <w:rPr>
          <w:rFonts w:hint="eastAsia" w:ascii="宋体" w:hAnsi="宋体" w:cs="宋体"/>
          <w:color w:val="auto"/>
          <w:kern w:val="2"/>
          <w:sz w:val="24"/>
          <w:szCs w:val="22"/>
          <w:highlight w:val="none"/>
          <w:u w:val="none"/>
        </w:rPr>
        <w:t>性别</w:t>
      </w:r>
      <w:r>
        <w:rPr>
          <w:rFonts w:ascii="宋体" w:hAnsi="宋体" w:cs="宋体"/>
          <w:color w:val="auto"/>
          <w:kern w:val="2"/>
          <w:sz w:val="24"/>
          <w:szCs w:val="22"/>
          <w:highlight w:val="none"/>
          <w:u w:val="none"/>
        </w:rPr>
        <w:t xml:space="preserve"> </w:t>
      </w:r>
      <w:r>
        <w:rPr>
          <w:rFonts w:hint="eastAsia" w:ascii="宋体" w:hAnsi="宋体" w:cs="宋体"/>
          <w:color w:val="auto"/>
          <w:kern w:val="2"/>
          <w:sz w:val="24"/>
          <w:szCs w:val="22"/>
          <w:highlight w:val="none"/>
          <w:u w:val="none"/>
        </w:rPr>
        <w:t>：</w:t>
      </w:r>
      <w:r>
        <w:rPr>
          <w:rFonts w:ascii="宋体" w:hAnsi="宋体" w:cs="宋体"/>
          <w:color w:val="auto"/>
          <w:kern w:val="2"/>
          <w:sz w:val="24"/>
          <w:szCs w:val="22"/>
          <w:highlight w:val="none"/>
          <w:u w:val="single"/>
        </w:rPr>
        <w:t xml:space="preserve">            </w:t>
      </w:r>
      <w:r>
        <w:rPr>
          <w:rFonts w:hint="eastAsia" w:ascii="宋体" w:hAnsi="宋体" w:cs="宋体"/>
          <w:color w:val="auto"/>
          <w:kern w:val="2"/>
          <w:sz w:val="24"/>
          <w:szCs w:val="22"/>
          <w:highlight w:val="none"/>
          <w:u w:val="none"/>
        </w:rPr>
        <w:t>年龄：</w:t>
      </w:r>
      <w:r>
        <w:rPr>
          <w:rFonts w:ascii="宋体" w:hAnsi="宋体" w:cs="宋体"/>
          <w:color w:val="auto"/>
          <w:kern w:val="2"/>
          <w:sz w:val="24"/>
          <w:szCs w:val="22"/>
          <w:highlight w:val="none"/>
          <w:u w:val="single"/>
        </w:rPr>
        <w:t xml:space="preserve">        </w:t>
      </w:r>
    </w:p>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single"/>
        </w:rPr>
      </w:pPr>
      <w:r>
        <w:rPr>
          <w:rFonts w:hint="eastAsia" w:ascii="宋体" w:hAnsi="宋体" w:cs="宋体"/>
          <w:color w:val="auto"/>
          <w:kern w:val="2"/>
          <w:sz w:val="24"/>
          <w:szCs w:val="22"/>
          <w:highlight w:val="none"/>
          <w:u w:val="none"/>
        </w:rPr>
        <w:t>身份证号码：</w:t>
      </w:r>
      <w:r>
        <w:rPr>
          <w:rFonts w:ascii="宋体" w:hAnsi="宋体" w:cs="宋体"/>
          <w:color w:val="auto"/>
          <w:kern w:val="2"/>
          <w:sz w:val="24"/>
          <w:szCs w:val="22"/>
          <w:highlight w:val="none"/>
          <w:u w:val="single"/>
        </w:rPr>
        <w:t xml:space="preserve">                    </w:t>
      </w:r>
      <w:r>
        <w:rPr>
          <w:rFonts w:hint="eastAsia" w:ascii="宋体" w:hAnsi="宋体" w:cs="宋体"/>
          <w:color w:val="auto"/>
          <w:kern w:val="2"/>
          <w:sz w:val="24"/>
          <w:szCs w:val="22"/>
          <w:highlight w:val="none"/>
          <w:u w:val="none"/>
        </w:rPr>
        <w:t>职务：</w:t>
      </w:r>
      <w:r>
        <w:rPr>
          <w:rFonts w:ascii="宋体" w:hAnsi="宋体" w:cs="宋体"/>
          <w:color w:val="auto"/>
          <w:kern w:val="2"/>
          <w:sz w:val="24"/>
          <w:szCs w:val="22"/>
          <w:highlight w:val="none"/>
          <w:u w:val="single"/>
        </w:rPr>
        <w:t xml:space="preserve">                    </w:t>
      </w:r>
    </w:p>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none"/>
        </w:rPr>
      </w:pPr>
      <w:r>
        <w:rPr>
          <w:rFonts w:hint="eastAsia" w:ascii="宋体" w:hAnsi="宋体" w:cs="宋体"/>
          <w:color w:val="auto"/>
          <w:kern w:val="2"/>
          <w:sz w:val="24"/>
          <w:szCs w:val="22"/>
          <w:highlight w:val="none"/>
          <w:u w:val="none"/>
        </w:rPr>
        <w:t>投</w:t>
      </w:r>
      <w:r>
        <w:rPr>
          <w:rFonts w:ascii="宋体" w:hAnsi="宋体" w:cs="宋体"/>
          <w:color w:val="auto"/>
          <w:kern w:val="2"/>
          <w:sz w:val="24"/>
          <w:szCs w:val="22"/>
          <w:highlight w:val="none"/>
          <w:u w:val="none"/>
        </w:rPr>
        <w:t xml:space="preserve">  </w:t>
      </w:r>
      <w:r>
        <w:rPr>
          <w:rFonts w:hint="eastAsia" w:ascii="宋体" w:hAnsi="宋体" w:cs="宋体"/>
          <w:color w:val="auto"/>
          <w:kern w:val="2"/>
          <w:sz w:val="24"/>
          <w:szCs w:val="22"/>
          <w:highlight w:val="none"/>
          <w:u w:val="none"/>
        </w:rPr>
        <w:t>标</w:t>
      </w:r>
      <w:r>
        <w:rPr>
          <w:rFonts w:ascii="宋体" w:hAnsi="宋体" w:cs="宋体"/>
          <w:color w:val="auto"/>
          <w:kern w:val="2"/>
          <w:sz w:val="24"/>
          <w:szCs w:val="22"/>
          <w:highlight w:val="none"/>
          <w:u w:val="none"/>
        </w:rPr>
        <w:t xml:space="preserve">  </w:t>
      </w:r>
      <w:r>
        <w:rPr>
          <w:rFonts w:hint="eastAsia" w:ascii="宋体" w:hAnsi="宋体" w:cs="宋体"/>
          <w:color w:val="auto"/>
          <w:kern w:val="2"/>
          <w:sz w:val="24"/>
          <w:szCs w:val="22"/>
          <w:highlight w:val="none"/>
          <w:u w:val="none"/>
        </w:rPr>
        <w:t>人：</w:t>
      </w:r>
      <w:r>
        <w:rPr>
          <w:rFonts w:ascii="宋体" w:hAnsi="宋体" w:cs="宋体"/>
          <w:color w:val="auto"/>
          <w:kern w:val="2"/>
          <w:sz w:val="24"/>
          <w:szCs w:val="22"/>
          <w:highlight w:val="none"/>
          <w:u w:val="single"/>
        </w:rPr>
        <w:t xml:space="preserve">                                 </w:t>
      </w:r>
      <w:r>
        <w:rPr>
          <w:rFonts w:hint="eastAsia" w:ascii="宋体" w:hAnsi="宋体" w:cs="宋体"/>
          <w:color w:val="auto"/>
          <w:kern w:val="2"/>
          <w:sz w:val="24"/>
          <w:szCs w:val="22"/>
          <w:highlight w:val="none"/>
          <w:u w:val="single"/>
        </w:rPr>
        <w:t>（盖章）</w:t>
      </w:r>
    </w:p>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none"/>
        </w:rPr>
      </w:pPr>
      <w:r>
        <w:rPr>
          <w:rFonts w:hint="eastAsia" w:ascii="宋体" w:hAnsi="宋体" w:cs="宋体"/>
          <w:color w:val="auto"/>
          <w:kern w:val="2"/>
          <w:sz w:val="24"/>
          <w:szCs w:val="22"/>
          <w:highlight w:val="none"/>
          <w:u w:val="none"/>
        </w:rPr>
        <w:t>法定代表人：</w:t>
      </w:r>
      <w:r>
        <w:rPr>
          <w:rFonts w:ascii="宋体" w:hAnsi="宋体" w:cs="宋体"/>
          <w:color w:val="auto"/>
          <w:kern w:val="2"/>
          <w:sz w:val="24"/>
          <w:szCs w:val="22"/>
          <w:highlight w:val="none"/>
          <w:u w:val="single"/>
        </w:rPr>
        <w:t xml:space="preserve">                            </w:t>
      </w:r>
      <w:r>
        <w:rPr>
          <w:rFonts w:hint="eastAsia" w:ascii="宋体" w:hAnsi="宋体" w:cs="宋体"/>
          <w:color w:val="auto"/>
          <w:kern w:val="2"/>
          <w:sz w:val="24"/>
          <w:szCs w:val="22"/>
          <w:highlight w:val="none"/>
          <w:u w:val="single"/>
        </w:rPr>
        <w:t>（盖章或签字）</w:t>
      </w:r>
    </w:p>
    <w:p>
      <w:pPr>
        <w:widowControl w:val="0"/>
        <w:adjustRightInd w:val="0"/>
        <w:snapToGrid w:val="0"/>
        <w:spacing w:before="62" w:beforeLines="20" w:after="62" w:afterLines="20" w:line="440" w:lineRule="exact"/>
        <w:ind w:left="1668" w:hanging="1668"/>
        <w:jc w:val="center"/>
        <w:textAlignment w:val="auto"/>
        <w:rPr>
          <w:rFonts w:ascii="宋体" w:hAnsi="Calibri" w:cs="宋体"/>
          <w:color w:val="auto"/>
          <w:kern w:val="2"/>
          <w:sz w:val="24"/>
          <w:szCs w:val="22"/>
          <w:highlight w:val="none"/>
          <w:u w:val="none"/>
        </w:rPr>
      </w:pPr>
      <w:r>
        <w:rPr>
          <w:rFonts w:hint="eastAsia" w:ascii="宋体" w:hAnsi="宋体" w:cs="宋体"/>
          <w:color w:val="auto"/>
          <w:kern w:val="2"/>
          <w:sz w:val="24"/>
          <w:szCs w:val="22"/>
          <w:highlight w:val="none"/>
          <w:u w:val="none"/>
        </w:rPr>
        <w:t>法人身份证粘贴处：</w:t>
      </w:r>
    </w:p>
    <w:tbl>
      <w:tblPr>
        <w:tblStyle w:val="15"/>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widowControl w:val="0"/>
              <w:adjustRightInd w:val="0"/>
              <w:snapToGrid w:val="0"/>
              <w:spacing w:before="62" w:beforeLines="20" w:after="62" w:afterLines="20" w:line="540" w:lineRule="exact"/>
              <w:ind w:left="1668" w:hanging="1668"/>
              <w:textAlignment w:val="auto"/>
              <w:rPr>
                <w:rFonts w:ascii="宋体" w:hAnsi="Calibri" w:cs="宋体"/>
                <w:color w:val="auto"/>
                <w:kern w:val="2"/>
                <w:sz w:val="24"/>
                <w:szCs w:val="22"/>
                <w:highlight w:val="none"/>
                <w:u w:val="none"/>
              </w:rPr>
            </w:pPr>
          </w:p>
        </w:tc>
        <w:tc>
          <w:tcPr>
            <w:tcW w:w="3900" w:type="dxa"/>
          </w:tcPr>
          <w:p>
            <w:pPr>
              <w:widowControl w:val="0"/>
              <w:adjustRightInd w:val="0"/>
              <w:snapToGrid w:val="0"/>
              <w:spacing w:before="62" w:beforeLines="20" w:after="62" w:afterLines="20" w:line="540" w:lineRule="exact"/>
              <w:ind w:left="1668" w:hanging="1668"/>
              <w:textAlignment w:val="auto"/>
              <w:rPr>
                <w:rFonts w:ascii="宋体" w:hAnsi="Calibri" w:cs="宋体"/>
                <w:color w:val="auto"/>
                <w:kern w:val="2"/>
                <w:sz w:val="24"/>
                <w:szCs w:val="22"/>
                <w:highlight w:val="none"/>
                <w:u w:val="none"/>
              </w:rPr>
            </w:pPr>
          </w:p>
        </w:tc>
      </w:tr>
    </w:tbl>
    <w:p>
      <w:pPr>
        <w:widowControl w:val="0"/>
        <w:adjustRightInd w:val="0"/>
        <w:snapToGrid w:val="0"/>
        <w:spacing w:line="400" w:lineRule="exact"/>
        <w:ind w:left="1668" w:hanging="1668"/>
        <w:jc w:val="center"/>
        <w:textAlignment w:val="auto"/>
        <w:rPr>
          <w:rFonts w:ascii="宋体" w:hAnsi="Calibri" w:cs="宋体"/>
          <w:b/>
          <w:color w:val="auto"/>
          <w:kern w:val="10"/>
          <w:sz w:val="28"/>
          <w:szCs w:val="28"/>
          <w:highlight w:val="none"/>
          <w:u w:val="none"/>
        </w:rPr>
      </w:pPr>
      <w:r>
        <w:rPr>
          <w:rFonts w:hint="eastAsia" w:ascii="宋体" w:hAnsi="宋体" w:cs="宋体"/>
          <w:color w:val="auto"/>
          <w:kern w:val="2"/>
          <w:sz w:val="24"/>
          <w:szCs w:val="22"/>
          <w:highlight w:val="none"/>
          <w:u w:val="none"/>
        </w:rPr>
        <w:t>被授权人身份证粘贴处：</w:t>
      </w:r>
    </w:p>
    <w:tbl>
      <w:tblPr>
        <w:tblStyle w:val="15"/>
        <w:tblpPr w:leftFromText="180" w:rightFromText="180" w:vertAnchor="text" w:horzAnchor="page" w:tblpXSpec="center" w:tblpY="372"/>
        <w:tblOverlap w:val="never"/>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none"/>
              </w:rPr>
            </w:pPr>
          </w:p>
        </w:tc>
        <w:tc>
          <w:tcPr>
            <w:tcW w:w="4032" w:type="dxa"/>
          </w:tcPr>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none"/>
              </w:rPr>
            </w:pPr>
          </w:p>
        </w:tc>
      </w:tr>
    </w:tbl>
    <w:p>
      <w:pPr>
        <w:widowControl w:val="0"/>
        <w:spacing w:line="240" w:lineRule="auto"/>
        <w:textAlignment w:val="auto"/>
        <w:rPr>
          <w:rFonts w:hint="eastAsia" w:ascii="宋体" w:hAnsi="宋体" w:cs="宋体"/>
          <w:bCs/>
          <w:color w:val="auto"/>
          <w:kern w:val="2"/>
          <w:sz w:val="24"/>
          <w:szCs w:val="24"/>
          <w:highlight w:val="none"/>
          <w:u w:val="none"/>
        </w:rPr>
      </w:pPr>
    </w:p>
    <w:p>
      <w:pPr>
        <w:widowControl w:val="0"/>
        <w:spacing w:line="240" w:lineRule="auto"/>
        <w:textAlignment w:val="auto"/>
        <w:rPr>
          <w:rFonts w:hint="eastAsia" w:ascii="宋体" w:hAnsi="宋体" w:cs="宋体"/>
          <w:bCs/>
          <w:color w:val="auto"/>
          <w:kern w:val="2"/>
          <w:sz w:val="24"/>
          <w:szCs w:val="24"/>
          <w:highlight w:val="none"/>
          <w:u w:val="none"/>
        </w:rPr>
      </w:pPr>
    </w:p>
    <w:p>
      <w:pPr>
        <w:widowControl w:val="0"/>
        <w:spacing w:line="240" w:lineRule="auto"/>
        <w:textAlignment w:val="auto"/>
        <w:rPr>
          <w:rFonts w:hint="eastAsia" w:ascii="宋体" w:hAnsi="宋体" w:cs="宋体"/>
          <w:bCs/>
          <w:color w:val="auto"/>
          <w:kern w:val="2"/>
          <w:sz w:val="24"/>
          <w:szCs w:val="24"/>
          <w:highlight w:val="none"/>
          <w:u w:val="none"/>
        </w:rPr>
      </w:pPr>
    </w:p>
    <w:p>
      <w:pPr>
        <w:widowControl w:val="0"/>
        <w:spacing w:line="240" w:lineRule="auto"/>
        <w:textAlignment w:val="auto"/>
        <w:rPr>
          <w:rFonts w:hint="eastAsia" w:ascii="宋体" w:hAnsi="宋体" w:cs="宋体"/>
          <w:bCs/>
          <w:color w:val="auto"/>
          <w:kern w:val="2"/>
          <w:sz w:val="24"/>
          <w:szCs w:val="24"/>
          <w:highlight w:val="none"/>
          <w:u w:val="none"/>
        </w:rPr>
      </w:pPr>
    </w:p>
    <w:p>
      <w:pPr>
        <w:widowControl w:val="0"/>
        <w:spacing w:line="240" w:lineRule="auto"/>
        <w:textAlignment w:val="auto"/>
        <w:rPr>
          <w:rFonts w:hint="eastAsia" w:ascii="宋体" w:hAnsi="宋体" w:cs="宋体"/>
          <w:bCs/>
          <w:color w:val="auto"/>
          <w:kern w:val="2"/>
          <w:sz w:val="24"/>
          <w:szCs w:val="24"/>
          <w:highlight w:val="none"/>
          <w:u w:val="none"/>
        </w:rPr>
      </w:pPr>
    </w:p>
    <w:p>
      <w:pPr>
        <w:widowControl w:val="0"/>
        <w:spacing w:line="240" w:lineRule="auto"/>
        <w:jc w:val="right"/>
        <w:textAlignment w:val="auto"/>
        <w:rPr>
          <w:rFonts w:ascii="宋体" w:hAnsi="宋体" w:cs="宋体"/>
          <w:bCs/>
          <w:color w:val="auto"/>
          <w:kern w:val="2"/>
          <w:sz w:val="24"/>
          <w:szCs w:val="24"/>
          <w:highlight w:val="none"/>
          <w:u w:val="none"/>
        </w:rPr>
      </w:pPr>
      <w:r>
        <w:rPr>
          <w:rFonts w:hint="eastAsia" w:ascii="宋体" w:hAnsi="宋体" w:cs="宋体"/>
          <w:bCs/>
          <w:color w:val="auto"/>
          <w:kern w:val="2"/>
          <w:sz w:val="24"/>
          <w:szCs w:val="24"/>
          <w:highlight w:val="none"/>
          <w:u w:val="none"/>
        </w:rPr>
        <w:t>授权委托日期：</w:t>
      </w:r>
      <w:r>
        <w:rPr>
          <w:rFonts w:ascii="宋体" w:hAnsi="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none"/>
        </w:rPr>
        <w:t>年</w:t>
      </w:r>
      <w:r>
        <w:rPr>
          <w:rFonts w:ascii="宋体" w:hAnsi="宋体" w:cs="宋体"/>
          <w:bCs/>
          <w:color w:val="auto"/>
          <w:kern w:val="2"/>
          <w:sz w:val="24"/>
          <w:szCs w:val="24"/>
          <w:highlight w:val="none"/>
          <w:u w:val="none"/>
        </w:rPr>
        <w:t xml:space="preserve"> </w:t>
      </w:r>
      <w:r>
        <w:rPr>
          <w:rFonts w:ascii="宋体" w:hAnsi="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none"/>
        </w:rPr>
        <w:t>月</w:t>
      </w:r>
      <w:r>
        <w:rPr>
          <w:rFonts w:ascii="宋体" w:hAnsi="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none"/>
        </w:rPr>
        <w:t>日</w:t>
      </w:r>
    </w:p>
    <w:p>
      <w:pPr>
        <w:widowControl w:val="0"/>
        <w:snapToGrid w:val="0"/>
        <w:spacing w:line="360" w:lineRule="auto"/>
        <w:jc w:val="left"/>
        <w:textAlignment w:val="auto"/>
        <w:rPr>
          <w:rFonts w:ascii="宋体" w:hAnsi="宋体" w:cs="宋体"/>
          <w:b/>
          <w:bCs/>
          <w:color w:val="auto"/>
          <w:kern w:val="2"/>
          <w:sz w:val="28"/>
          <w:szCs w:val="28"/>
          <w:highlight w:val="none"/>
          <w:u w:val="none"/>
        </w:rPr>
      </w:pPr>
    </w:p>
    <w:p>
      <w:pPr>
        <w:widowControl w:val="0"/>
        <w:snapToGrid w:val="0"/>
        <w:spacing w:line="360" w:lineRule="auto"/>
        <w:jc w:val="left"/>
        <w:textAlignment w:val="auto"/>
        <w:rPr>
          <w:rFonts w:ascii="宋体" w:hAnsi="宋体" w:cs="宋体"/>
          <w:b/>
          <w:bCs/>
          <w:color w:val="auto"/>
          <w:kern w:val="2"/>
          <w:sz w:val="28"/>
          <w:szCs w:val="28"/>
          <w:highlight w:val="none"/>
          <w:u w:val="none"/>
        </w:rPr>
      </w:pPr>
      <w:r>
        <w:rPr>
          <w:rFonts w:hint="eastAsia" w:ascii="宋体" w:hAnsi="宋体" w:cs="宋体"/>
          <w:b/>
          <w:bCs/>
          <w:color w:val="auto"/>
          <w:kern w:val="2"/>
          <w:sz w:val="28"/>
          <w:szCs w:val="28"/>
          <w:highlight w:val="none"/>
          <w:u w:val="none"/>
        </w:rPr>
        <w:t>附件（</w:t>
      </w:r>
      <w:r>
        <w:rPr>
          <w:rFonts w:hint="eastAsia" w:ascii="宋体" w:hAnsi="宋体" w:cs="宋体"/>
          <w:b/>
          <w:bCs/>
          <w:color w:val="auto"/>
          <w:kern w:val="2"/>
          <w:sz w:val="28"/>
          <w:szCs w:val="28"/>
          <w:highlight w:val="none"/>
          <w:u w:val="none"/>
          <w:lang w:eastAsia="zh-CN"/>
        </w:rPr>
        <w:t>五</w:t>
      </w:r>
      <w:r>
        <w:rPr>
          <w:rFonts w:hint="eastAsia" w:ascii="宋体" w:hAnsi="宋体" w:cs="宋体"/>
          <w:b/>
          <w:bCs/>
          <w:color w:val="auto"/>
          <w:kern w:val="2"/>
          <w:sz w:val="28"/>
          <w:szCs w:val="28"/>
          <w:highlight w:val="none"/>
          <w:u w:val="none"/>
        </w:rPr>
        <w:t>）</w:t>
      </w:r>
    </w:p>
    <w:p>
      <w:pPr>
        <w:widowControl w:val="0"/>
        <w:spacing w:line="240" w:lineRule="auto"/>
        <w:ind w:left="1946" w:hanging="1946"/>
        <w:jc w:val="center"/>
        <w:textAlignment w:val="auto"/>
        <w:rPr>
          <w:rFonts w:ascii="Calibri" w:hAnsi="Calibri" w:cs="宋体"/>
          <w:b/>
          <w:bCs/>
          <w:color w:val="auto"/>
          <w:kern w:val="2"/>
          <w:sz w:val="36"/>
          <w:szCs w:val="36"/>
          <w:highlight w:val="none"/>
          <w:u w:val="none"/>
        </w:rPr>
      </w:pPr>
      <w:r>
        <w:rPr>
          <w:rFonts w:hint="eastAsia" w:ascii="Calibri" w:hAnsi="Calibri" w:cs="宋体"/>
          <w:b/>
          <w:bCs/>
          <w:color w:val="auto"/>
          <w:kern w:val="2"/>
          <w:sz w:val="36"/>
          <w:szCs w:val="36"/>
          <w:highlight w:val="none"/>
          <w:u w:val="none"/>
        </w:rPr>
        <w:t>承诺函</w:t>
      </w:r>
    </w:p>
    <w:p>
      <w:pPr>
        <w:widowControl w:val="0"/>
        <w:spacing w:line="240" w:lineRule="auto"/>
        <w:ind w:left="1946" w:hanging="1946"/>
        <w:jc w:val="left"/>
        <w:textAlignment w:val="auto"/>
        <w:rPr>
          <w:rFonts w:ascii="Calibri" w:hAnsi="Calibri" w:cs="宋体"/>
          <w:color w:val="auto"/>
          <w:kern w:val="2"/>
          <w:sz w:val="28"/>
          <w:szCs w:val="22"/>
          <w:highlight w:val="none"/>
          <w:u w:val="none"/>
        </w:rPr>
      </w:pPr>
      <w:bookmarkStart w:id="15" w:name="_Toc530255538"/>
      <w:r>
        <w:rPr>
          <w:rFonts w:hint="eastAsia" w:ascii="Calibri" w:hAnsi="Calibri" w:cs="宋体"/>
          <w:color w:val="auto"/>
          <w:kern w:val="2"/>
          <w:sz w:val="28"/>
          <w:szCs w:val="22"/>
          <w:highlight w:val="none"/>
          <w:u w:val="none"/>
        </w:rPr>
        <w:t>我公司郑重承诺，在经营活动中没有以下不良行为记录：</w:t>
      </w:r>
      <w:bookmarkEnd w:id="15"/>
    </w:p>
    <w:p>
      <w:pPr>
        <w:widowControl w:val="0"/>
        <w:spacing w:line="240" w:lineRule="auto"/>
        <w:ind w:left="1946" w:hanging="1946"/>
        <w:jc w:val="lef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1、被人民法院列入失信被执行人的；</w:t>
      </w:r>
    </w:p>
    <w:p>
      <w:pPr>
        <w:widowControl w:val="0"/>
        <w:spacing w:line="240" w:lineRule="auto"/>
        <w:ind w:left="1946" w:hanging="1946"/>
        <w:jc w:val="lef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2、被工商行政管理部门列入企业经营异常名录的；</w:t>
      </w:r>
    </w:p>
    <w:p>
      <w:pPr>
        <w:widowControl w:val="0"/>
        <w:spacing w:line="240" w:lineRule="auto"/>
        <w:ind w:left="1946" w:hanging="1946"/>
        <w:jc w:val="lef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3、被税务部门列入重大税收违法案件当事人名单的；</w:t>
      </w:r>
    </w:p>
    <w:p>
      <w:pPr>
        <w:widowControl w:val="0"/>
        <w:spacing w:line="240" w:lineRule="auto"/>
        <w:ind w:left="280" w:hanging="280" w:hangingChars="100"/>
        <w:jc w:val="lef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4、被政府采购监管部门列入政府采购严重违法失信行为记录名单的。</w:t>
      </w:r>
    </w:p>
    <w:p>
      <w:pPr>
        <w:widowControl w:val="0"/>
        <w:spacing w:line="240" w:lineRule="auto"/>
        <w:ind w:left="1946" w:hanging="1946"/>
        <w:jc w:val="left"/>
        <w:textAlignment w:val="auto"/>
        <w:rPr>
          <w:rFonts w:ascii="Calibri" w:hAnsi="Calibri" w:cs="宋体"/>
          <w:color w:val="auto"/>
          <w:kern w:val="2"/>
          <w:sz w:val="28"/>
          <w:szCs w:val="22"/>
          <w:highlight w:val="none"/>
          <w:u w:val="none"/>
        </w:rPr>
      </w:pPr>
    </w:p>
    <w:p>
      <w:pPr>
        <w:widowControl w:val="0"/>
        <w:spacing w:line="240" w:lineRule="auto"/>
        <w:ind w:left="1946" w:hanging="1946"/>
        <w:jc w:val="lef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投标人：        （盖公章）</w:t>
      </w:r>
    </w:p>
    <w:p>
      <w:pPr>
        <w:widowControl w:val="0"/>
        <w:spacing w:line="240" w:lineRule="auto"/>
        <w:ind w:left="1946" w:hanging="1946"/>
        <w:jc w:val="lef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法定代表人或其委托代理人：  （签字或盖章）</w:t>
      </w:r>
    </w:p>
    <w:p>
      <w:pPr>
        <w:widowControl w:val="0"/>
        <w:spacing w:line="240" w:lineRule="auto"/>
        <w:ind w:left="1946" w:hanging="1946"/>
        <w:jc w:val="left"/>
        <w:textAlignment w:val="auto"/>
        <w:rPr>
          <w:rFonts w:ascii="Calibri" w:hAnsi="Calibri" w:cs="宋体"/>
          <w:color w:val="auto"/>
          <w:kern w:val="2"/>
          <w:sz w:val="28"/>
          <w:szCs w:val="22"/>
          <w:highlight w:val="none"/>
          <w:u w:val="none"/>
        </w:rPr>
      </w:pPr>
    </w:p>
    <w:p>
      <w:pPr>
        <w:widowControl w:val="0"/>
        <w:spacing w:line="240" w:lineRule="auto"/>
        <w:ind w:left="1946" w:hanging="1946"/>
        <w:jc w:val="righ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时 间：      年    月    日</w:t>
      </w:r>
    </w:p>
    <w:p>
      <w:pPr>
        <w:widowControl w:val="0"/>
        <w:spacing w:line="500" w:lineRule="exact"/>
        <w:jc w:val="left"/>
        <w:textAlignment w:val="auto"/>
        <w:rPr>
          <w:rFonts w:ascii="宋体" w:hAnsi="宋体" w:cs="宋体"/>
          <w:b/>
          <w:bCs/>
          <w:color w:val="auto"/>
          <w:kern w:val="2"/>
          <w:sz w:val="28"/>
          <w:szCs w:val="28"/>
          <w:highlight w:val="none"/>
          <w:u w:val="none"/>
        </w:rPr>
      </w:pPr>
    </w:p>
    <w:p>
      <w:pPr>
        <w:widowControl w:val="0"/>
        <w:spacing w:line="500" w:lineRule="exact"/>
        <w:jc w:val="left"/>
        <w:textAlignment w:val="auto"/>
        <w:rPr>
          <w:rFonts w:ascii="宋体" w:hAnsi="宋体" w:cs="宋体"/>
          <w:b/>
          <w:bCs/>
          <w:color w:val="auto"/>
          <w:kern w:val="2"/>
          <w:sz w:val="28"/>
          <w:szCs w:val="28"/>
          <w:highlight w:val="none"/>
          <w:u w:val="none"/>
        </w:rPr>
      </w:pPr>
    </w:p>
    <w:p>
      <w:pPr>
        <w:widowControl w:val="0"/>
        <w:spacing w:line="500" w:lineRule="exact"/>
        <w:jc w:val="left"/>
        <w:textAlignment w:val="auto"/>
        <w:rPr>
          <w:rFonts w:ascii="宋体" w:hAnsi="宋体" w:cs="宋体"/>
          <w:b/>
          <w:bCs/>
          <w:color w:val="auto"/>
          <w:kern w:val="2"/>
          <w:sz w:val="28"/>
          <w:szCs w:val="28"/>
          <w:highlight w:val="none"/>
          <w:u w:val="none"/>
        </w:rPr>
      </w:pPr>
    </w:p>
    <w:p>
      <w:pPr>
        <w:widowControl w:val="0"/>
        <w:spacing w:line="500" w:lineRule="exact"/>
        <w:jc w:val="left"/>
        <w:textAlignment w:val="auto"/>
        <w:rPr>
          <w:rFonts w:ascii="宋体" w:hAnsi="宋体" w:cs="宋体"/>
          <w:b/>
          <w:bCs/>
          <w:color w:val="auto"/>
          <w:kern w:val="2"/>
          <w:sz w:val="28"/>
          <w:szCs w:val="28"/>
          <w:highlight w:val="none"/>
          <w:u w:val="none"/>
        </w:rPr>
      </w:pPr>
    </w:p>
    <w:p>
      <w:pPr>
        <w:widowControl w:val="0"/>
        <w:spacing w:line="500" w:lineRule="exact"/>
        <w:jc w:val="left"/>
        <w:textAlignment w:val="auto"/>
        <w:rPr>
          <w:rFonts w:ascii="宋体" w:hAnsi="宋体" w:cs="宋体"/>
          <w:b/>
          <w:bCs/>
          <w:color w:val="auto"/>
          <w:kern w:val="2"/>
          <w:sz w:val="28"/>
          <w:szCs w:val="28"/>
          <w:highlight w:val="none"/>
          <w:u w:val="none"/>
        </w:rPr>
      </w:pPr>
    </w:p>
    <w:p>
      <w:pPr>
        <w:pStyle w:val="2"/>
        <w:rPr>
          <w:rFonts w:ascii="宋体" w:hAnsi="宋体" w:cs="宋体"/>
          <w:b/>
          <w:bCs/>
          <w:color w:val="auto"/>
          <w:kern w:val="2"/>
          <w:sz w:val="28"/>
          <w:szCs w:val="28"/>
          <w:highlight w:val="none"/>
          <w:u w:val="none"/>
        </w:rPr>
      </w:pPr>
    </w:p>
    <w:p>
      <w:pPr>
        <w:pStyle w:val="2"/>
        <w:rPr>
          <w:rFonts w:ascii="宋体" w:hAnsi="宋体" w:cs="宋体"/>
          <w:b/>
          <w:bCs/>
          <w:color w:val="auto"/>
          <w:kern w:val="2"/>
          <w:sz w:val="28"/>
          <w:szCs w:val="28"/>
          <w:highlight w:val="none"/>
          <w:u w:val="none"/>
        </w:rPr>
      </w:pPr>
    </w:p>
    <w:p>
      <w:pPr>
        <w:pStyle w:val="2"/>
        <w:rPr>
          <w:rFonts w:ascii="宋体" w:hAnsi="宋体" w:cs="宋体"/>
          <w:b/>
          <w:bCs/>
          <w:color w:val="auto"/>
          <w:kern w:val="2"/>
          <w:sz w:val="28"/>
          <w:szCs w:val="28"/>
          <w:highlight w:val="none"/>
          <w:u w:val="none"/>
        </w:rPr>
      </w:pPr>
    </w:p>
    <w:p>
      <w:pPr>
        <w:pStyle w:val="2"/>
        <w:rPr>
          <w:rFonts w:ascii="宋体" w:hAnsi="宋体" w:cs="宋体"/>
          <w:b/>
          <w:bCs/>
          <w:color w:val="auto"/>
          <w:kern w:val="2"/>
          <w:sz w:val="28"/>
          <w:szCs w:val="28"/>
          <w:highlight w:val="none"/>
          <w:u w:val="none"/>
        </w:rPr>
      </w:pPr>
    </w:p>
    <w:p>
      <w:pPr>
        <w:pStyle w:val="2"/>
        <w:rPr>
          <w:rFonts w:ascii="宋体" w:hAnsi="宋体" w:cs="宋体"/>
          <w:b/>
          <w:bCs/>
          <w:color w:val="auto"/>
          <w:kern w:val="2"/>
          <w:sz w:val="28"/>
          <w:szCs w:val="28"/>
          <w:highlight w:val="none"/>
          <w:u w:val="none"/>
        </w:rPr>
      </w:pPr>
    </w:p>
    <w:p>
      <w:pPr>
        <w:pStyle w:val="2"/>
        <w:rPr>
          <w:rFonts w:ascii="宋体" w:hAnsi="宋体" w:cs="宋体"/>
          <w:b/>
          <w:bCs/>
          <w:color w:val="auto"/>
          <w:kern w:val="2"/>
          <w:sz w:val="28"/>
          <w:szCs w:val="28"/>
          <w:highlight w:val="none"/>
          <w:u w:val="none"/>
        </w:rPr>
      </w:pPr>
    </w:p>
    <w:p>
      <w:pPr>
        <w:pStyle w:val="2"/>
        <w:rPr>
          <w:rFonts w:ascii="宋体" w:hAnsi="宋体" w:cs="宋体"/>
          <w:b/>
          <w:bCs/>
          <w:color w:val="auto"/>
          <w:kern w:val="2"/>
          <w:sz w:val="28"/>
          <w:szCs w:val="28"/>
          <w:highlight w:val="none"/>
          <w:u w:val="none"/>
        </w:rPr>
      </w:pPr>
    </w:p>
    <w:p>
      <w:pPr>
        <w:widowControl w:val="0"/>
        <w:adjustRightInd w:val="0"/>
        <w:snapToGrid w:val="0"/>
        <w:spacing w:before="62" w:beforeLines="20" w:after="62" w:afterLines="20" w:line="500" w:lineRule="exact"/>
        <w:jc w:val="left"/>
        <w:textAlignment w:val="auto"/>
        <w:rPr>
          <w:rFonts w:ascii="宋体" w:hAnsi="宋体" w:eastAsia="宋体" w:cs="Times New Roman"/>
          <w:b/>
          <w:color w:val="000000"/>
          <w:kern w:val="2"/>
          <w:sz w:val="36"/>
          <w:szCs w:val="36"/>
          <w:u w:val="none"/>
        </w:rPr>
      </w:pPr>
      <w:r>
        <w:rPr>
          <w:rFonts w:hint="eastAsia" w:ascii="宋体" w:hAnsi="宋体" w:eastAsia="宋体" w:cs="Times New Roman"/>
          <w:b/>
          <w:color w:val="000000"/>
          <w:kern w:val="2"/>
          <w:sz w:val="28"/>
          <w:szCs w:val="28"/>
          <w:u w:val="none"/>
        </w:rPr>
        <w:t>附件</w:t>
      </w:r>
      <w:r>
        <w:rPr>
          <w:rFonts w:hint="eastAsia" w:ascii="宋体" w:hAnsi="宋体" w:eastAsia="宋体" w:cs="Times New Roman"/>
          <w:b/>
          <w:color w:val="000000"/>
          <w:kern w:val="2"/>
          <w:sz w:val="28"/>
          <w:szCs w:val="28"/>
          <w:u w:val="none"/>
          <w:lang w:eastAsia="zh-CN"/>
        </w:rPr>
        <w:t>（</w:t>
      </w:r>
      <w:r>
        <w:rPr>
          <w:rFonts w:hint="eastAsia" w:ascii="宋体" w:hAnsi="宋体" w:cs="Times New Roman"/>
          <w:b/>
          <w:color w:val="000000"/>
          <w:kern w:val="2"/>
          <w:sz w:val="28"/>
          <w:szCs w:val="28"/>
          <w:u w:val="none"/>
          <w:lang w:eastAsia="zh-CN"/>
        </w:rPr>
        <w:t>六</w:t>
      </w:r>
      <w:r>
        <w:rPr>
          <w:rFonts w:hint="eastAsia" w:ascii="宋体" w:hAnsi="宋体" w:eastAsia="宋体" w:cs="Times New Roman"/>
          <w:b/>
          <w:color w:val="000000"/>
          <w:kern w:val="2"/>
          <w:sz w:val="28"/>
          <w:szCs w:val="28"/>
          <w:u w:val="none"/>
          <w:lang w:eastAsia="zh-CN"/>
        </w:rPr>
        <w:t>）</w:t>
      </w: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r>
        <w:rPr>
          <w:rFonts w:hint="eastAsia" w:ascii="宋体" w:hAnsi="宋体" w:cs="Times New Roman"/>
          <w:b/>
          <w:color w:val="000000"/>
          <w:kern w:val="2"/>
          <w:sz w:val="36"/>
          <w:szCs w:val="36"/>
          <w:u w:val="none"/>
          <w:lang w:eastAsia="zh-CN"/>
        </w:rPr>
        <w:t>质保和售后</w:t>
      </w:r>
      <w:r>
        <w:rPr>
          <w:rFonts w:hint="eastAsia" w:ascii="宋体" w:hAnsi="宋体" w:eastAsia="宋体" w:cs="Times New Roman"/>
          <w:b/>
          <w:color w:val="000000"/>
          <w:kern w:val="2"/>
          <w:sz w:val="36"/>
          <w:szCs w:val="36"/>
          <w:u w:val="none"/>
        </w:rPr>
        <w:t>服务承诺函</w:t>
      </w: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line="500" w:lineRule="exact"/>
        <w:jc w:val="left"/>
        <w:textAlignment w:val="auto"/>
        <w:rPr>
          <w:rFonts w:hint="default" w:ascii="宋体" w:hAnsi="宋体" w:eastAsia="宋体" w:cs="Times New Roman"/>
          <w:color w:val="000000"/>
          <w:kern w:val="2"/>
          <w:sz w:val="28"/>
          <w:szCs w:val="28"/>
          <w:u w:val="none"/>
          <w:lang w:val="en-US" w:eastAsia="zh-CN"/>
        </w:rPr>
      </w:pPr>
      <w:r>
        <w:rPr>
          <w:rFonts w:hint="eastAsia" w:ascii="宋体" w:hAnsi="宋体" w:eastAsia="宋体" w:cs="Times New Roman"/>
          <w:color w:val="000000"/>
          <w:kern w:val="2"/>
          <w:sz w:val="28"/>
          <w:szCs w:val="28"/>
          <w:u w:val="none"/>
        </w:rPr>
        <w:t>致：</w:t>
      </w:r>
      <w:r>
        <w:rPr>
          <w:rFonts w:hint="eastAsia" w:ascii="宋体" w:hAnsi="宋体" w:eastAsia="宋体" w:cs="Times New Roman"/>
          <w:color w:val="000000"/>
          <w:kern w:val="2"/>
          <w:sz w:val="28"/>
          <w:szCs w:val="28"/>
          <w:u w:val="none" w:color="auto"/>
          <w:lang w:val="en-US" w:eastAsia="zh-CN"/>
        </w:rPr>
        <w:t>安徽相王医疗健康股份有限公司</w:t>
      </w:r>
    </w:p>
    <w:p>
      <w:pPr>
        <w:widowControl w:val="0"/>
        <w:adjustRightInd w:val="0"/>
        <w:snapToGrid w:val="0"/>
        <w:spacing w:before="62" w:beforeLines="20" w:after="62" w:afterLines="20" w:line="500" w:lineRule="exact"/>
        <w:ind w:firstLine="560" w:firstLineChars="200"/>
        <w:jc w:val="left"/>
        <w:textAlignment w:val="auto"/>
        <w:rPr>
          <w:rFonts w:ascii="宋体" w:hAnsi="宋体" w:eastAsia="宋体" w:cs="Times New Roman"/>
          <w:color w:val="000000"/>
          <w:kern w:val="2"/>
          <w:sz w:val="28"/>
          <w:szCs w:val="28"/>
          <w:u w:val="none"/>
        </w:rPr>
      </w:pPr>
      <w:r>
        <w:rPr>
          <w:rFonts w:hint="eastAsia" w:ascii="宋体" w:hAnsi="宋体" w:eastAsia="宋体" w:cs="Times New Roman"/>
          <w:color w:val="000000"/>
          <w:kern w:val="2"/>
          <w:sz w:val="28"/>
          <w:szCs w:val="28"/>
          <w:u w:val="none"/>
        </w:rPr>
        <w:t>我公司充分了解本项目招标文件所有内容，</w:t>
      </w:r>
      <w:r>
        <w:rPr>
          <w:rFonts w:hint="eastAsia" w:ascii="宋体" w:hAnsi="宋体" w:cs="Times New Roman"/>
          <w:color w:val="000000"/>
          <w:kern w:val="2"/>
          <w:sz w:val="28"/>
          <w:szCs w:val="28"/>
          <w:u w:val="none"/>
          <w:lang w:eastAsia="zh-CN"/>
        </w:rPr>
        <w:t>质保承诺为</w:t>
      </w:r>
      <w:r>
        <w:rPr>
          <w:rFonts w:hint="eastAsia" w:ascii="宋体" w:hAnsi="宋体" w:cs="Times New Roman"/>
          <w:color w:val="000000"/>
          <w:kern w:val="2"/>
          <w:sz w:val="28"/>
          <w:szCs w:val="28"/>
          <w:u w:val="single" w:color="auto"/>
          <w:lang w:val="en-US" w:eastAsia="zh-CN"/>
        </w:rPr>
        <w:t xml:space="preserve">       </w:t>
      </w:r>
      <w:r>
        <w:rPr>
          <w:rFonts w:hint="eastAsia" w:ascii="宋体" w:hAnsi="宋体" w:cs="Times New Roman"/>
          <w:color w:val="000000"/>
          <w:kern w:val="2"/>
          <w:sz w:val="28"/>
          <w:szCs w:val="28"/>
          <w:u w:val="none" w:color="auto"/>
          <w:lang w:val="en-US" w:eastAsia="zh-CN"/>
        </w:rPr>
        <w:t>。</w:t>
      </w:r>
      <w:r>
        <w:rPr>
          <w:rFonts w:hint="eastAsia" w:ascii="宋体" w:hAnsi="宋体" w:eastAsia="宋体" w:cs="Times New Roman"/>
          <w:color w:val="000000"/>
          <w:kern w:val="2"/>
          <w:sz w:val="28"/>
          <w:szCs w:val="28"/>
          <w:u w:val="none"/>
        </w:rPr>
        <w:t>售后服务承诺为</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。如中标保证按承诺认真履约。</w:t>
      </w: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000000"/>
          <w:kern w:val="2"/>
          <w:sz w:val="28"/>
          <w:szCs w:val="28"/>
          <w:u w:val="none"/>
        </w:rPr>
      </w:pP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000000"/>
          <w:kern w:val="2"/>
          <w:sz w:val="28"/>
          <w:szCs w:val="28"/>
          <w:u w:val="none"/>
        </w:rPr>
      </w:pPr>
    </w:p>
    <w:p>
      <w:pPr>
        <w:widowControl w:val="0"/>
        <w:tabs>
          <w:tab w:val="left" w:pos="720"/>
          <w:tab w:val="left" w:pos="900"/>
        </w:tabs>
        <w:spacing w:before="62" w:beforeLines="20" w:after="62" w:afterLines="20" w:line="500" w:lineRule="exact"/>
        <w:ind w:firstLine="3780" w:firstLineChars="1350"/>
        <w:jc w:val="right"/>
        <w:textAlignment w:val="auto"/>
        <w:rPr>
          <w:rFonts w:ascii="宋体" w:hAnsi="宋体" w:eastAsia="宋体" w:cs="Times New Roman"/>
          <w:color w:val="000000"/>
          <w:kern w:val="2"/>
          <w:sz w:val="28"/>
          <w:szCs w:val="28"/>
          <w:u w:val="none"/>
        </w:rPr>
      </w:pPr>
      <w:r>
        <w:rPr>
          <w:rFonts w:hint="eastAsia" w:ascii="宋体" w:hAnsi="宋体" w:eastAsia="宋体" w:cs="Times New Roman"/>
          <w:color w:val="000000"/>
          <w:kern w:val="2"/>
          <w:sz w:val="28"/>
          <w:szCs w:val="28"/>
          <w:u w:val="none"/>
        </w:rPr>
        <w:t>投标人：</w:t>
      </w:r>
      <w:r>
        <w:rPr>
          <w:rFonts w:hint="eastAsia" w:ascii="宋体" w:hAnsi="宋体" w:eastAsia="宋体" w:cs="Times New Roman"/>
          <w:color w:val="000000"/>
          <w:kern w:val="2"/>
          <w:sz w:val="28"/>
          <w:szCs w:val="28"/>
          <w:u w:val="single"/>
        </w:rPr>
        <w:t xml:space="preserve">             （盖公章）</w:t>
      </w:r>
    </w:p>
    <w:p>
      <w:pPr>
        <w:widowControl w:val="0"/>
        <w:spacing w:line="240" w:lineRule="auto"/>
        <w:ind w:firstLine="3920" w:firstLineChars="1400"/>
        <w:jc w:val="right"/>
        <w:textAlignment w:val="auto"/>
        <w:rPr>
          <w:rFonts w:ascii="Calibri" w:hAnsi="Calibri" w:eastAsia="宋体" w:cs="Times New Roman"/>
          <w:color w:val="000000"/>
          <w:kern w:val="2"/>
          <w:szCs w:val="24"/>
          <w:u w:val="none"/>
        </w:rPr>
      </w:pPr>
      <w:r>
        <w:rPr>
          <w:rFonts w:hint="eastAsia" w:ascii="宋体" w:hAnsi="宋体" w:eastAsia="宋体" w:cs="Times New Roman"/>
          <w:color w:val="000000"/>
          <w:kern w:val="2"/>
          <w:sz w:val="28"/>
          <w:szCs w:val="28"/>
          <w:u w:val="none"/>
        </w:rPr>
        <w:t>日  期：</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年</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月</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日</w:t>
      </w:r>
    </w:p>
    <w:p>
      <w:pPr>
        <w:widowControl w:val="0"/>
        <w:spacing w:line="500" w:lineRule="exact"/>
        <w:jc w:val="left"/>
        <w:textAlignment w:val="auto"/>
        <w:rPr>
          <w:rFonts w:ascii="宋体" w:hAnsi="宋体" w:cs="宋体"/>
          <w:b/>
          <w:bCs/>
          <w:color w:val="auto"/>
          <w:kern w:val="2"/>
          <w:sz w:val="28"/>
          <w:szCs w:val="28"/>
          <w:highlight w:val="none"/>
          <w:u w:val="none"/>
        </w:rPr>
      </w:pPr>
    </w:p>
    <w:p>
      <w:pPr>
        <w:widowControl w:val="0"/>
        <w:snapToGrid w:val="0"/>
        <w:spacing w:line="360" w:lineRule="auto"/>
        <w:ind w:left="1954" w:leftChars="269" w:hanging="1389" w:hangingChars="494"/>
        <w:jc w:val="left"/>
        <w:textAlignment w:val="auto"/>
        <w:rPr>
          <w:rFonts w:hint="eastAsia" w:ascii="宋体" w:hAnsi="宋体" w:cs="宋体"/>
          <w:b/>
          <w:bCs/>
          <w:kern w:val="2"/>
          <w:sz w:val="28"/>
          <w:szCs w:val="28"/>
          <w:u w:val="none"/>
          <w:lang w:eastAsia="zh-CN"/>
        </w:rPr>
      </w:pPr>
    </w:p>
    <w:sectPr>
      <w:footerReference r:id="rId7" w:type="first"/>
      <w:headerReference r:id="rId5" w:type="default"/>
      <w:footerReference r:id="rId6" w:type="default"/>
      <w:pgSz w:w="11907" w:h="16840"/>
      <w:pgMar w:top="720" w:right="720" w:bottom="720" w:left="940" w:header="851" w:footer="1531" w:gutter="0"/>
      <w:cols w:space="720" w:num="1"/>
      <w:docGrid w:type="lines" w:linePitch="30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Fonts w:hint="eastAsia"/>
      </w:rPr>
    </w:pPr>
  </w:p>
  <w:p>
    <w:pPr>
      <w:pStyle w:val="11"/>
      <w:rPr>
        <w:rFonts w:hint="eastAsia"/>
        <w:szCs w:val="21"/>
      </w:rPr>
    </w:pP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5BC24"/>
    <w:multiLevelType w:val="singleLevel"/>
    <w:tmpl w:val="A015BC24"/>
    <w:lvl w:ilvl="0" w:tentative="0">
      <w:start w:val="1"/>
      <w:numFmt w:val="decimal"/>
      <w:suff w:val="nothing"/>
      <w:lvlText w:val="%1、"/>
      <w:lvlJc w:val="left"/>
    </w:lvl>
  </w:abstractNum>
  <w:abstractNum w:abstractNumId="1">
    <w:nsid w:val="FC7D08C5"/>
    <w:multiLevelType w:val="singleLevel"/>
    <w:tmpl w:val="FC7D08C5"/>
    <w:lvl w:ilvl="0" w:tentative="0">
      <w:start w:val="2"/>
      <w:numFmt w:val="chineseCounting"/>
      <w:suff w:val="nothing"/>
      <w:lvlText w:val="%1、"/>
      <w:lvlJc w:val="left"/>
      <w:rPr>
        <w:rFonts w:hint="eastAsia"/>
      </w:rPr>
    </w:lvl>
  </w:abstractNum>
  <w:abstractNum w:abstractNumId="2">
    <w:nsid w:val="03E88364"/>
    <w:multiLevelType w:val="singleLevel"/>
    <w:tmpl w:val="03E88364"/>
    <w:lvl w:ilvl="0" w:tentative="0">
      <w:start w:val="2"/>
      <w:numFmt w:val="chineseCounting"/>
      <w:suff w:val="nothing"/>
      <w:lvlText w:val="（%1）"/>
      <w:lvlJc w:val="left"/>
      <w:rPr>
        <w:rFonts w:hint="eastAsia"/>
      </w:rPr>
    </w:lvl>
  </w:abstractNum>
  <w:abstractNum w:abstractNumId="3">
    <w:nsid w:val="1667A0A5"/>
    <w:multiLevelType w:val="singleLevel"/>
    <w:tmpl w:val="1667A0A5"/>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E3915"/>
    <w:rsid w:val="026A46A6"/>
    <w:rsid w:val="02EA0864"/>
    <w:rsid w:val="03EE5400"/>
    <w:rsid w:val="045E28CC"/>
    <w:rsid w:val="056F1F66"/>
    <w:rsid w:val="06CC5EF1"/>
    <w:rsid w:val="088F7801"/>
    <w:rsid w:val="090A2D13"/>
    <w:rsid w:val="0982654B"/>
    <w:rsid w:val="0D90166B"/>
    <w:rsid w:val="0E5E055F"/>
    <w:rsid w:val="141A4B2F"/>
    <w:rsid w:val="14495E2B"/>
    <w:rsid w:val="167F37F2"/>
    <w:rsid w:val="1813278B"/>
    <w:rsid w:val="191765F8"/>
    <w:rsid w:val="195F3160"/>
    <w:rsid w:val="19BB693F"/>
    <w:rsid w:val="1A11219B"/>
    <w:rsid w:val="1B530684"/>
    <w:rsid w:val="1E7E47E0"/>
    <w:rsid w:val="20633589"/>
    <w:rsid w:val="2075762A"/>
    <w:rsid w:val="2163113A"/>
    <w:rsid w:val="21737CC0"/>
    <w:rsid w:val="227E518B"/>
    <w:rsid w:val="22DE1EFF"/>
    <w:rsid w:val="244C0899"/>
    <w:rsid w:val="265777C5"/>
    <w:rsid w:val="26972003"/>
    <w:rsid w:val="2D4B5EB7"/>
    <w:rsid w:val="2D6E3915"/>
    <w:rsid w:val="304C4E71"/>
    <w:rsid w:val="32504DFA"/>
    <w:rsid w:val="32C36E1E"/>
    <w:rsid w:val="33671CE8"/>
    <w:rsid w:val="34831B82"/>
    <w:rsid w:val="36770F73"/>
    <w:rsid w:val="36CE01E2"/>
    <w:rsid w:val="37042AB2"/>
    <w:rsid w:val="37B338E4"/>
    <w:rsid w:val="38033923"/>
    <w:rsid w:val="39525558"/>
    <w:rsid w:val="3B872328"/>
    <w:rsid w:val="3B883808"/>
    <w:rsid w:val="3B9E5E50"/>
    <w:rsid w:val="3BAE7806"/>
    <w:rsid w:val="3BD57167"/>
    <w:rsid w:val="3C2B6F66"/>
    <w:rsid w:val="3CAB1C76"/>
    <w:rsid w:val="3D48496A"/>
    <w:rsid w:val="3E26096F"/>
    <w:rsid w:val="3ED55D4C"/>
    <w:rsid w:val="3F2C130C"/>
    <w:rsid w:val="41F61BE6"/>
    <w:rsid w:val="42D474E2"/>
    <w:rsid w:val="43E63DAD"/>
    <w:rsid w:val="45174BF6"/>
    <w:rsid w:val="4E5B2EA1"/>
    <w:rsid w:val="4E7B4F3A"/>
    <w:rsid w:val="4EA65026"/>
    <w:rsid w:val="4F31646C"/>
    <w:rsid w:val="4F6E1174"/>
    <w:rsid w:val="50BB4417"/>
    <w:rsid w:val="51002139"/>
    <w:rsid w:val="513F6318"/>
    <w:rsid w:val="51F87882"/>
    <w:rsid w:val="520C648B"/>
    <w:rsid w:val="54C722EF"/>
    <w:rsid w:val="54FB77FB"/>
    <w:rsid w:val="56813D1C"/>
    <w:rsid w:val="57610CFC"/>
    <w:rsid w:val="576F3582"/>
    <w:rsid w:val="57AD5100"/>
    <w:rsid w:val="589B49E3"/>
    <w:rsid w:val="5A440B30"/>
    <w:rsid w:val="5BA501C5"/>
    <w:rsid w:val="5D0F6098"/>
    <w:rsid w:val="5DD76644"/>
    <w:rsid w:val="61937245"/>
    <w:rsid w:val="637005F4"/>
    <w:rsid w:val="65180AF8"/>
    <w:rsid w:val="656B4D99"/>
    <w:rsid w:val="65C3199D"/>
    <w:rsid w:val="67A92B24"/>
    <w:rsid w:val="67CC23BC"/>
    <w:rsid w:val="69F07E23"/>
    <w:rsid w:val="6B4D72DD"/>
    <w:rsid w:val="6C000F7E"/>
    <w:rsid w:val="6D8727E6"/>
    <w:rsid w:val="6D98787A"/>
    <w:rsid w:val="6E9E2299"/>
    <w:rsid w:val="6F0403E6"/>
    <w:rsid w:val="6FB64E42"/>
    <w:rsid w:val="7074506B"/>
    <w:rsid w:val="70C614C2"/>
    <w:rsid w:val="71327D2E"/>
    <w:rsid w:val="71930883"/>
    <w:rsid w:val="72917936"/>
    <w:rsid w:val="75241F9B"/>
    <w:rsid w:val="762429BD"/>
    <w:rsid w:val="766C6EEA"/>
    <w:rsid w:val="77BD0ACC"/>
    <w:rsid w:val="793E3734"/>
    <w:rsid w:val="79DB2A70"/>
    <w:rsid w:val="7B4D3924"/>
    <w:rsid w:val="7BC82AD2"/>
    <w:rsid w:val="7BCF205D"/>
    <w:rsid w:val="7BF07693"/>
    <w:rsid w:val="7C30512E"/>
    <w:rsid w:val="7CF04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nhideWhenUsed="0" w:uiPriority="0" w:semiHidden="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5">
    <w:name w:val="heading 1"/>
    <w:basedOn w:val="1"/>
    <w:next w:val="1"/>
    <w:unhideWhenUsed/>
    <w:qFormat/>
    <w:uiPriority w:val="1"/>
    <w:pPr>
      <w:spacing w:line="687" w:lineRule="exact"/>
      <w:ind w:left="228"/>
      <w:outlineLvl w:val="0"/>
    </w:pPr>
    <w:rPr>
      <w:rFonts w:hint="eastAsia" w:ascii="Microsoft JhengHei" w:hAnsi="Microsoft JhengHei" w:eastAsia="Microsoft JhengHei" w:cs="Microsoft JhengHei"/>
      <w:b/>
      <w:sz w:val="44"/>
      <w:szCs w:val="44"/>
      <w:lang w:val="zh-CN" w:bidi="zh-CN"/>
    </w:rPr>
  </w:style>
  <w:style w:type="paragraph" w:styleId="6">
    <w:name w:val="heading 3"/>
    <w:basedOn w:val="1"/>
    <w:next w:val="1"/>
    <w:qFormat/>
    <w:uiPriority w:val="0"/>
    <w:pPr>
      <w:keepNext/>
      <w:keepLines/>
      <w:spacing w:before="260" w:after="260" w:line="416" w:lineRule="auto"/>
      <w:jc w:val="center"/>
      <w:outlineLvl w:val="2"/>
    </w:pPr>
    <w:rPr>
      <w:rFonts w:ascii="宋体" w:hAnsi="Calibri"/>
      <w:b/>
      <w:bCs/>
      <w:color w:val="auto"/>
      <w:kern w:val="2"/>
      <w:sz w:val="32"/>
      <w:szCs w:val="32"/>
    </w:rPr>
  </w:style>
  <w:style w:type="paragraph" w:styleId="7">
    <w:name w:val="heading 5"/>
    <w:basedOn w:val="1"/>
    <w:next w:val="1"/>
    <w:qFormat/>
    <w:uiPriority w:val="99"/>
    <w:pPr>
      <w:keepNext/>
      <w:keepLines/>
      <w:spacing w:before="280" w:after="290" w:line="376" w:lineRule="auto"/>
      <w:outlineLvl w:val="4"/>
    </w:pPr>
    <w:rPr>
      <w:b/>
      <w:bCs/>
      <w:kern w:val="0"/>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8">
    <w:name w:val="Normal Indent"/>
    <w:basedOn w:val="1"/>
    <w:qFormat/>
    <w:uiPriority w:val="0"/>
    <w:pPr>
      <w:widowControl w:val="0"/>
      <w:adjustRightInd w:val="0"/>
      <w:spacing w:line="360" w:lineRule="atLeast"/>
      <w:ind w:firstLine="482"/>
    </w:pPr>
    <w:rPr>
      <w:color w:val="auto"/>
      <w:sz w:val="24"/>
      <w:u w:val="none" w:color="auto"/>
    </w:rPr>
  </w:style>
  <w:style w:type="paragraph" w:styleId="9">
    <w:name w:val="Plain Text"/>
    <w:basedOn w:val="1"/>
    <w:qFormat/>
    <w:uiPriority w:val="0"/>
    <w:rPr>
      <w:rFonts w:ascii="宋体" w:hAnsi="Courier New" w:cstheme="minorBidi"/>
      <w:color w:val="auto"/>
      <w:kern w:val="2"/>
      <w:szCs w:val="22"/>
    </w:rPr>
  </w:style>
  <w:style w:type="paragraph" w:styleId="10">
    <w:name w:val="Date"/>
    <w:basedOn w:val="1"/>
    <w:next w:val="1"/>
    <w:qFormat/>
    <w:uiPriority w:val="0"/>
    <w:rPr>
      <w:rFonts w:asciiTheme="minorHAnsi" w:hAnsiTheme="minorHAnsi" w:cstheme="minorBidi"/>
      <w:b/>
      <w:color w:val="auto"/>
      <w:kern w:val="2"/>
      <w:sz w:val="28"/>
      <w:szCs w:val="22"/>
    </w:rPr>
  </w:style>
  <w:style w:type="paragraph" w:styleId="11">
    <w:name w:val="footer"/>
    <w:basedOn w:val="1"/>
    <w:qFormat/>
    <w:uiPriority w:val="0"/>
    <w:pPr>
      <w:tabs>
        <w:tab w:val="center" w:pos="4153"/>
        <w:tab w:val="right" w:pos="8306"/>
      </w:tabs>
      <w:snapToGrid w:val="0"/>
      <w:spacing w:line="240" w:lineRule="atLeast"/>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3">
    <w:name w:val="Body Text 2"/>
    <w:qFormat/>
    <w:uiPriority w:val="99"/>
    <w:pPr>
      <w:widowControl w:val="0"/>
      <w:ind w:left="695" w:hanging="695" w:hangingChars="695"/>
      <w:jc w:val="center"/>
    </w:pPr>
    <w:rPr>
      <w:rFonts w:ascii="Times New Roman" w:hAnsi="Times New Roman" w:eastAsia="宋体" w:cs="Times New Roman"/>
      <w:kern w:val="2"/>
      <w:sz w:val="28"/>
      <w:szCs w:val="28"/>
      <w:lang w:val="en-US" w:eastAsia="zh-CN" w:bidi="ar-SA"/>
    </w:rPr>
  </w:style>
  <w:style w:type="paragraph" w:styleId="14">
    <w:name w:val="Normal (Web)"/>
    <w:basedOn w:val="1"/>
    <w:qFormat/>
    <w:uiPriority w:val="0"/>
    <w:pPr>
      <w:widowControl/>
      <w:spacing w:before="100" w:beforeAutospacing="1" w:after="100" w:afterAutospacing="1"/>
      <w:jc w:val="left"/>
    </w:pPr>
    <w:rPr>
      <w:rFonts w:ascii="宋体" w:hAnsi="宋体" w:cs="宋体"/>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paragraph" w:customStyle="1" w:styleId="19">
    <w:name w:val="List Paragraph"/>
    <w:basedOn w:val="1"/>
    <w:qFormat/>
    <w:uiPriority w:val="99"/>
    <w:pPr>
      <w:ind w:firstLine="420" w:firstLineChars="200"/>
    </w:pPr>
  </w:style>
  <w:style w:type="paragraph" w:customStyle="1" w:styleId="20">
    <w:name w:val="dl"/>
    <w:basedOn w:val="1"/>
    <w:qFormat/>
    <w:uiPriority w:val="0"/>
    <w:pPr>
      <w:widowControl w:val="0"/>
      <w:spacing w:before="100" w:beforeAutospacing="1" w:after="100" w:afterAutospacing="1" w:line="240" w:lineRule="auto"/>
      <w:textAlignment w:val="auto"/>
    </w:pPr>
    <w:rPr>
      <w:color w:val="auto"/>
      <w:kern w:val="2"/>
      <w:szCs w:val="24"/>
      <w:u w:val="none" w:color="auto"/>
    </w:rPr>
  </w:style>
  <w:style w:type="paragraph" w:customStyle="1" w:styleId="21">
    <w:name w:val="xl31"/>
    <w:basedOn w:val="1"/>
    <w:qFormat/>
    <w:uiPriority w:val="0"/>
    <w:pPr>
      <w:widowControl/>
      <w:spacing w:before="100" w:beforeAutospacing="1" w:after="100" w:afterAutospacing="1"/>
      <w:jc w:val="center"/>
    </w:pPr>
    <w:rPr>
      <w:rFonts w:ascii="宋体" w:hAnsi="宋体"/>
      <w:b/>
      <w:bCs/>
      <w:color w:val="auto"/>
      <w:sz w:val="28"/>
      <w:szCs w:val="28"/>
    </w:rPr>
  </w:style>
  <w:style w:type="paragraph" w:customStyle="1" w:styleId="22">
    <w:name w:val="Char Char Char Char Char Char Char1 Char"/>
    <w:basedOn w:val="1"/>
    <w:qFormat/>
    <w:uiPriority w:val="0"/>
    <w:rPr>
      <w:rFonts w:ascii="Tahoma" w:hAnsi="Tahoma"/>
      <w:color w:val="auto"/>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2021-12-01T07:30:00Z</dcterms:created>
  <dc:creator>尘土</dc:creator>
  <cp:lastModifiedBy>尘土</cp:lastModifiedBy>
  <cp:lastPrinted>2021-12-01T09:23:00Z</cp:lastPrinted>
  <dcterms:modified xsi:type="dcterms:W3CDTF">2022-02-14T08:25:40Z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5B8C9EA90EF946AAB9C622712879DB96</vt:lpwstr>
  </property>
</Properties>
</file>