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</w:rPr>
      </w:pPr>
      <w:r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  <w:lang w:val="en-US" w:eastAsia="zh-CN"/>
        </w:rPr>
        <w:t>安徽相王医疗健康股份有限公司电动无轨伸缩门</w:t>
      </w:r>
      <w:r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  <w:lang w:val="en-US" w:eastAsia="zh-Hans"/>
        </w:rPr>
        <w:t>采购</w:t>
      </w:r>
      <w:r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</w:rPr>
        <w:t>项目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  <w:lang w:val="en-US" w:eastAsia="zh-CN"/>
        </w:rPr>
        <w:t>比</w:t>
      </w:r>
      <w:r>
        <w:rPr>
          <w:rFonts w:hint="eastAsia" w:asciiTheme="minorHAnsi" w:hAnsiTheme="minorHAnsi" w:eastAsiaTheme="minorEastAsia" w:cstheme="minorBidi"/>
          <w:b/>
          <w:kern w:val="0"/>
          <w:sz w:val="36"/>
          <w:szCs w:val="36"/>
          <w:u w:val="none"/>
          <w:lang w:val="en-US" w:eastAsia="zh-Han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000000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000000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000000"/>
          <w:kern w:val="2"/>
          <w:sz w:val="28"/>
          <w:szCs w:val="28"/>
          <w:u w:val="none"/>
        </w:rPr>
      </w:pPr>
    </w:p>
    <w:tbl>
      <w:tblPr>
        <w:tblStyle w:val="1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安徽相王医疗健康股份有限公司电动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无轨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伸缩门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安徽相王医疗健康股份有限公司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控制价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18400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元（大写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壹万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捌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仟肆佰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具有合法有效的营业执照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具有完成本项目相应能力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保证金人民币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val="en-US" w:eastAsia="zh-CN"/>
              </w:rPr>
              <w:t>500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元。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比价现场缴纳。比价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结束后，拟中标单位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保证金由招标人留置，设备验收合格后一周内无息退还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其他单位的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保证金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当场退还。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在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截止时间届满后撤回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响应文件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及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供应商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</w:rPr>
              <w:t>中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标后不愿签订合同，其</w:t>
            </w:r>
            <w:r>
              <w:rPr>
                <w:rFonts w:hint="eastAsia" w:cs="宋体"/>
                <w:color w:val="auto"/>
                <w:sz w:val="28"/>
                <w:szCs w:val="28"/>
                <w:highlight w:val="none"/>
                <w:lang w:eastAsia="zh-CN"/>
              </w:rPr>
              <w:t>比价</w:t>
            </w:r>
            <w:r>
              <w:rPr>
                <w:rFonts w:hint="eastAsia" w:eastAsia="宋体" w:cs="宋体"/>
                <w:color w:val="auto"/>
                <w:sz w:val="28"/>
                <w:szCs w:val="28"/>
                <w:highlight w:val="none"/>
              </w:rPr>
              <w:t>保证金不予退还。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现场密封递交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截止时间：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时间：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七号楼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单位应于接到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通知书后10日内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采购人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签订合同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与对应廉政合同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000000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质量保证金为合同价款的</w:t>
            </w:r>
            <w:r>
              <w:rPr>
                <w:rFonts w:hint="eastAsia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5%，在合同价款中预先扣留，质量保证金支付详见合同主要条款。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Hans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，</w:t>
            </w:r>
            <w:r>
              <w:rPr>
                <w:rStyle w:val="17"/>
                <w:rFonts w:hint="default" w:ascii="Calibri" w:hAnsi="Calibri" w:cs="宋体"/>
                <w:color w:val="000000"/>
                <w:kern w:val="2"/>
                <w:sz w:val="28"/>
                <w:szCs w:val="28"/>
              </w:rPr>
              <w:t>采购人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于202</w:t>
            </w:r>
            <w:r>
              <w:rPr>
                <w:rStyle w:val="17"/>
                <w:rFonts w:hint="default" w:ascii="Calibri" w:hAnsi="Calibri" w:cs="宋体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年</w:t>
            </w:r>
            <w:r>
              <w:rPr>
                <w:rStyle w:val="17"/>
                <w:rFonts w:hint="eastAsia" w:ascii="Calibri" w:hAnsi="Calibri" w:cs="宋体"/>
                <w:color w:val="000000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Style w:val="17"/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000000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000000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default" w:ascii="宋体" w:hAnsi="宋体"/>
          <w:b/>
          <w:sz w:val="36"/>
          <w:szCs w:val="36"/>
        </w:rPr>
        <w:t>供应商</w:t>
      </w:r>
      <w:r>
        <w:rPr>
          <w:rFonts w:hint="eastAsia" w:ascii="宋体" w:hAnsi="宋体"/>
          <w:b/>
          <w:sz w:val="36"/>
          <w:szCs w:val="36"/>
        </w:rPr>
        <w:t>须知</w:t>
      </w:r>
    </w:p>
    <w:p>
      <w:pPr>
        <w:snapToGrid w:val="0"/>
        <w:spacing w:line="4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1.项目概况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none" w:color="000000"/>
          <w:lang w:eastAsia="zh-CN" w:bidi="ar-SA"/>
        </w:rPr>
      </w:pPr>
      <w:r>
        <w:rPr>
          <w:rFonts w:hint="default" w:ascii="宋体" w:hAnsi="宋体" w:cs="宋体"/>
          <w:b w:val="0"/>
          <w:bCs/>
          <w:color w:val="000000"/>
          <w:sz w:val="28"/>
          <w:szCs w:val="28"/>
          <w:u w:val="none" w:color="000000"/>
          <w:lang w:eastAsia="zh-CN" w:bidi="ar-SA"/>
        </w:rPr>
        <w:t xml:space="preserve"> </w:t>
      </w:r>
      <w:r>
        <w:rPr>
          <w:rFonts w:hint="eastAsia" w:ascii="Calibri" w:hAnsi="Calibri" w:eastAsia="宋体" w:cs="宋体"/>
          <w:color w:val="000000"/>
          <w:kern w:val="2"/>
          <w:sz w:val="28"/>
          <w:szCs w:val="28"/>
          <w:u w:val="none"/>
          <w:lang w:val="en-US" w:eastAsia="zh-CN"/>
        </w:rPr>
        <w:t>安徽相王医疗健康股份有限公司现</w:t>
      </w: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有电动有轨伸缩门1台，门高1.6m左右，长12m左右，门洞深度为2.65m左右、宽1.2m左右。拆除旧门为报价人所有，并安装</w:t>
      </w:r>
      <w:r>
        <w:rPr>
          <w:rFonts w:hint="eastAsia" w:ascii="Calibri" w:hAnsi="Calibri" w:eastAsia="宋体" w:cs="宋体"/>
          <w:color w:val="000000"/>
          <w:kern w:val="2"/>
          <w:sz w:val="28"/>
          <w:szCs w:val="28"/>
          <w:u w:val="none"/>
          <w:lang w:val="en-US" w:eastAsia="zh-CN"/>
        </w:rPr>
        <w:t>1台</w:t>
      </w: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全新</w:t>
      </w:r>
      <w:r>
        <w:rPr>
          <w:rFonts w:hint="eastAsia" w:ascii="Calibri" w:hAnsi="Calibri" w:eastAsia="宋体" w:cs="宋体"/>
          <w:color w:val="000000"/>
          <w:kern w:val="2"/>
          <w:sz w:val="28"/>
          <w:szCs w:val="28"/>
          <w:u w:val="none"/>
          <w:lang w:val="en-US" w:eastAsia="zh-CN"/>
        </w:rPr>
        <w:t>电动</w:t>
      </w: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无轨</w:t>
      </w:r>
      <w:r>
        <w:rPr>
          <w:rFonts w:hint="eastAsia" w:ascii="Calibri" w:hAnsi="Calibri" w:eastAsia="宋体" w:cs="宋体"/>
          <w:color w:val="000000"/>
          <w:kern w:val="2"/>
          <w:sz w:val="28"/>
          <w:szCs w:val="28"/>
          <w:u w:val="none"/>
          <w:lang w:val="en-US" w:eastAsia="zh-CN"/>
        </w:rPr>
        <w:t>伸缩门</w:t>
      </w: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及拆除原有的轨道与地面处理。</w:t>
      </w:r>
    </w:p>
    <w:p>
      <w:pPr>
        <w:numPr>
          <w:ilvl w:val="0"/>
          <w:numId w:val="0"/>
        </w:numPr>
        <w:snapToGrid w:val="0"/>
        <w:spacing w:line="460" w:lineRule="exact"/>
        <w:ind w:firstLine="643" w:firstLineChars="200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u w:val="none" w:color="000000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color w:val="000000"/>
          <w:sz w:val="32"/>
          <w:szCs w:val="32"/>
          <w:u w:val="none" w:color="000000"/>
          <w:lang w:val="en-US" w:eastAsia="zh-Hans" w:bidi="ar-SA"/>
        </w:rPr>
        <w:t>采购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u w:val="none" w:color="000000"/>
          <w:lang w:val="en-US" w:eastAsia="zh-CN" w:bidi="ar-SA"/>
        </w:rPr>
        <w:t>要求</w:t>
      </w:r>
    </w:p>
    <w:p>
      <w:p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1、标高1.6m左右，长12m左右。</w:t>
      </w:r>
    </w:p>
    <w:p>
      <w:p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2、主料优质不锈钢，1.0厚；辅料0.8厚。</w:t>
      </w:r>
    </w:p>
    <w:p>
      <w:p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3、轮子高级橡胶耐磨轮。</w:t>
      </w:r>
    </w:p>
    <w:p>
      <w:p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4、电动门专用优质电机，电源220V、功率320W。</w:t>
      </w:r>
    </w:p>
    <w:p>
      <w:p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5、配套无轨系统。</w:t>
      </w:r>
    </w:p>
    <w:p>
      <w:p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6、电机质保5年，门体质保3年。</w:t>
      </w:r>
    </w:p>
    <w:p>
      <w:pPr>
        <w:snapToGrid w:val="0"/>
        <w:spacing w:line="460" w:lineRule="exact"/>
        <w:ind w:firstLine="560" w:firstLineChars="200"/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color w:val="000000"/>
          <w:kern w:val="2"/>
          <w:sz w:val="28"/>
          <w:szCs w:val="28"/>
          <w:u w:val="none"/>
          <w:lang w:val="en-US" w:eastAsia="zh-CN"/>
        </w:rPr>
        <w:t>7、提供3种及以上款式彩色图片以供采购人选择。</w:t>
      </w:r>
    </w:p>
    <w:p>
      <w:pPr>
        <w:numPr>
          <w:ilvl w:val="0"/>
          <w:numId w:val="0"/>
        </w:numPr>
        <w:snapToGrid w:val="0"/>
        <w:spacing w:line="460" w:lineRule="exact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报价采用固定价格方式，所有项目的报价均包含了</w:t>
      </w: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sz w:val="28"/>
          <w:szCs w:val="28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应该支付的购买价格。</w:t>
      </w:r>
    </w:p>
    <w:p>
      <w:pPr>
        <w:snapToGrid w:val="0"/>
        <w:spacing w:line="4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4.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比价</w:t>
      </w:r>
      <w:r>
        <w:rPr>
          <w:rFonts w:hint="eastAsia" w:ascii="宋体" w:hAnsi="宋体" w:eastAsia="宋体" w:cs="宋体"/>
          <w:b/>
          <w:sz w:val="32"/>
          <w:szCs w:val="32"/>
        </w:rPr>
        <w:t>费用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sz w:val="28"/>
          <w:szCs w:val="28"/>
        </w:rPr>
        <w:t>中产生的一切费用自理。</w:t>
      </w:r>
    </w:p>
    <w:p>
      <w:pPr>
        <w:spacing w:line="460" w:lineRule="exact"/>
        <w:ind w:firstLine="643" w:firstLineChars="200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</w:rPr>
        <w:t>.</w:t>
      </w:r>
      <w:bookmarkStart w:id="0" w:name="_Toc144974507"/>
      <w:bookmarkStart w:id="1" w:name="_Toc152045539"/>
      <w:bookmarkStart w:id="2" w:name="_Toc247527563"/>
      <w:bookmarkStart w:id="3" w:name="_Toc247592876"/>
      <w:bookmarkStart w:id="4" w:name="_Toc296602429"/>
      <w:bookmarkStart w:id="5" w:name="_Toc247513962"/>
      <w:bookmarkStart w:id="6" w:name="_Toc152042315"/>
      <w:r>
        <w:rPr>
          <w:rFonts w:hint="eastAsia" w:ascii="宋体" w:hAnsi="宋体" w:eastAsia="宋体" w:cs="宋体"/>
          <w:b/>
          <w:sz w:val="32"/>
          <w:szCs w:val="32"/>
        </w:rPr>
        <w:t>踏勘现场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spacing w:line="460" w:lineRule="exact"/>
        <w:ind w:firstLine="546" w:firstLineChars="19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default" w:ascii="宋体" w:hAnsi="宋体" w:cs="宋体"/>
          <w:sz w:val="28"/>
          <w:szCs w:val="28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踏勘现场发生的费用自理。</w:t>
      </w:r>
    </w:p>
    <w:p>
      <w:pPr>
        <w:spacing w:line="460" w:lineRule="exact"/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友情提醒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ab/>
      </w:r>
    </w:p>
    <w:p>
      <w:pPr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请戴口罩，扫安康码进入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单位和开标场所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460" w:lineRule="exact"/>
        <w:ind w:firstLine="643" w:firstLineChars="200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7.报价函内容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7.1加盖供应商公章的响应报价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   7.2供应商营业执照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。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    7.3提供3种及以上电动无轨伸缩门款式图片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。</w:t>
      </w:r>
    </w:p>
    <w:p>
      <w:pPr>
        <w:spacing w:line="460" w:lineRule="exact"/>
        <w:ind w:firstLine="643" w:firstLine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数量少于3家，采用二次报价，根据第二次报价的价格确定成交人；如果实际参与的客户不足两家，采取洽商方式议定。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，按时到达现场，在规定时间内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，按报价从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到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排序，价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者得，在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spacing w:line="460" w:lineRule="exact"/>
        <w:ind w:firstLine="560" w:firstLineChars="200"/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460" w:lineRule="exact"/>
        <w:ind w:firstLine="643" w:firstLineChars="20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line="360" w:lineRule="auto"/>
        <w:ind w:leftChars="-695"/>
        <w:jc w:val="left"/>
        <w:textAlignment w:val="auto"/>
        <w:rPr>
          <w:rFonts w:hint="default" w:ascii="华文仿宋" w:hAnsi="华文仿宋" w:cs="宋体"/>
          <w:b/>
          <w:bCs/>
          <w:color w:val="000000" w:themeColor="text1"/>
          <w:kern w:val="2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GoBack"/>
      <w:bookmarkEnd w:id="15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0" w:firstLineChars="0"/>
        <w:jc w:val="left"/>
        <w:textAlignment w:val="baseline"/>
        <w:rPr>
          <w:rFonts w:hint="eastAsia" w:ascii="宋体" w:hAnsi="宋体"/>
          <w:color w:val="C00000"/>
          <w:kern w:val="10"/>
          <w:szCs w:val="24"/>
          <w:u w:val="none" w:color="000000"/>
        </w:rPr>
      </w:pPr>
    </w:p>
    <w:p>
      <w:pPr>
        <w:widowControl w:val="0"/>
        <w:spacing w:line="360" w:lineRule="auto"/>
        <w:ind w:firstLine="1968" w:firstLineChars="700"/>
        <w:textAlignment w:val="auto"/>
        <w:outlineLvl w:val="0"/>
        <w:rPr>
          <w:rFonts w:hint="eastAsia" w:ascii="宋体" w:hAnsi="宋体"/>
          <w:b/>
          <w:color w:val="auto"/>
          <w:sz w:val="28"/>
          <w:szCs w:val="28"/>
        </w:rPr>
      </w:pPr>
      <w:bookmarkStart w:id="7" w:name="_Toc208906016"/>
      <w:bookmarkEnd w:id="7"/>
      <w:bookmarkStart w:id="8" w:name="_Toc208905859"/>
      <w:bookmarkEnd w:id="8"/>
      <w:bookmarkStart w:id="9" w:name="_Toc208905556"/>
      <w:bookmarkEnd w:id="9"/>
      <w:bookmarkStart w:id="10" w:name="_Toc209328433"/>
      <w:bookmarkEnd w:id="10"/>
      <w:bookmarkStart w:id="11" w:name="_Toc419280536"/>
      <w:bookmarkEnd w:id="11"/>
      <w:bookmarkStart w:id="12" w:name="_Toc206908062"/>
      <w:bookmarkEnd w:id="12"/>
      <w:bookmarkStart w:id="13" w:name="_Toc192585800"/>
      <w:bookmarkEnd w:id="13"/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 xml:space="preserve"> 三、合同主要条款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一、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000000"/>
          <w:sz w:val="28"/>
          <w:szCs w:val="28"/>
        </w:rPr>
        <w:t>价格：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（一）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000000"/>
          <w:sz w:val="28"/>
          <w:szCs w:val="28"/>
        </w:rPr>
        <w:t>价格执行乙方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000000"/>
          <w:sz w:val="28"/>
          <w:szCs w:val="28"/>
        </w:rPr>
        <w:t>价格。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（二）价格包括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1、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000000"/>
          <w:sz w:val="28"/>
          <w:szCs w:val="28"/>
        </w:rPr>
        <w:t>生产成本、搬运、安装、调试、验收等所有投入和收益。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2、质保期内维护和损毁件的更换费用。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3、税费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及满足服务要求的相关</w:t>
      </w:r>
      <w:r>
        <w:rPr>
          <w:rFonts w:hint="eastAsia" w:ascii="华文仿宋" w:hAnsi="华文仿宋" w:cs="宋体"/>
          <w:color w:val="000000"/>
          <w:sz w:val="28"/>
          <w:szCs w:val="28"/>
        </w:rPr>
        <w:t>费用。</w:t>
      </w:r>
    </w:p>
    <w:p>
      <w:pPr>
        <w:pStyle w:val="18"/>
        <w:snapToGrid w:val="0"/>
        <w:spacing w:line="360" w:lineRule="auto"/>
        <w:ind w:left="0" w:leftChars="0"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二、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安装与</w:t>
      </w:r>
      <w:r>
        <w:rPr>
          <w:rFonts w:hint="eastAsia" w:ascii="华文仿宋" w:hAnsi="华文仿宋" w:cs="宋体"/>
          <w:color w:val="auto"/>
          <w:sz w:val="28"/>
          <w:szCs w:val="28"/>
        </w:rPr>
        <w:t>验收</w:t>
      </w:r>
    </w:p>
    <w:p>
      <w:pPr>
        <w:pStyle w:val="18"/>
        <w:snapToGrid w:val="0"/>
        <w:spacing w:line="360" w:lineRule="auto"/>
        <w:ind w:left="0" w:leftChars="0"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合同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签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订后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日内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 w:eastAsia="zh-CN"/>
        </w:rPr>
        <w:t>安装完毕</w:t>
      </w:r>
      <w:r>
        <w:rPr>
          <w:rFonts w:hint="eastAsia" w:ascii="华文仿宋" w:hAnsi="华文仿宋" w:cs="宋体"/>
          <w:color w:val="auto"/>
          <w:sz w:val="28"/>
          <w:szCs w:val="28"/>
        </w:rPr>
        <w:t>，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安装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试运行一个月</w:t>
      </w:r>
      <w:r>
        <w:rPr>
          <w:rFonts w:hint="eastAsia" w:ascii="华文仿宋" w:hAnsi="华文仿宋" w:cs="宋体"/>
          <w:color w:val="auto"/>
          <w:sz w:val="28"/>
          <w:szCs w:val="28"/>
        </w:rPr>
        <w:t>后各项性能指标均能达到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比价函</w:t>
      </w:r>
      <w:r>
        <w:rPr>
          <w:rFonts w:hint="eastAsia" w:ascii="华文仿宋" w:hAnsi="华文仿宋" w:cs="宋体"/>
          <w:color w:val="auto"/>
          <w:sz w:val="28"/>
          <w:szCs w:val="28"/>
        </w:rPr>
        <w:t>的要求，甲方采购主办部门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、使用部门</w:t>
      </w:r>
      <w:r>
        <w:rPr>
          <w:rFonts w:hint="eastAsia" w:ascii="华文仿宋" w:hAnsi="华文仿宋" w:cs="宋体"/>
          <w:color w:val="auto"/>
          <w:sz w:val="28"/>
          <w:szCs w:val="28"/>
        </w:rPr>
        <w:t>、财务人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员等</w:t>
      </w:r>
      <w:r>
        <w:rPr>
          <w:rFonts w:hint="eastAsia" w:ascii="华文仿宋" w:hAnsi="华文仿宋" w:cs="宋体"/>
          <w:color w:val="auto"/>
          <w:sz w:val="28"/>
          <w:szCs w:val="28"/>
        </w:rPr>
        <w:t>签署验收文件，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被视为验收通过。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三、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000000"/>
          <w:sz w:val="28"/>
          <w:szCs w:val="28"/>
        </w:rPr>
        <w:t>款的支付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华文仿宋" w:hAnsi="华文仿宋" w:cs="宋体"/>
          <w:color w:val="000000"/>
          <w:sz w:val="28"/>
          <w:szCs w:val="28"/>
        </w:rPr>
        <w:t>）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Hans"/>
        </w:rPr>
        <w:t>物品经</w:t>
      </w:r>
      <w:r>
        <w:rPr>
          <w:rFonts w:hint="eastAsia" w:ascii="华文仿宋" w:hAnsi="华文仿宋" w:cs="宋体"/>
          <w:color w:val="000000"/>
          <w:sz w:val="28"/>
          <w:szCs w:val="28"/>
        </w:rPr>
        <w:t>验收合格后支付至合同价款的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CN"/>
        </w:rPr>
        <w:t>95</w:t>
      </w:r>
      <w:r>
        <w:rPr>
          <w:rFonts w:hint="eastAsia" w:ascii="华文仿宋" w:hAnsi="华文仿宋" w:cs="宋体"/>
          <w:color w:val="000000"/>
          <w:sz w:val="28"/>
          <w:szCs w:val="28"/>
        </w:rPr>
        <w:t>%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华文仿宋" w:hAnsi="华文仿宋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余款作为质量保证金。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b/>
          <w:bCs/>
          <w:color w:val="000000"/>
          <w:sz w:val="28"/>
          <w:szCs w:val="28"/>
        </w:rPr>
      </w:pPr>
      <w:r>
        <w:rPr>
          <w:rFonts w:hint="eastAsia" w:ascii="华文仿宋" w:hAnsi="华文仿宋" w:cs="宋体"/>
          <w:b/>
          <w:bCs/>
          <w:color w:val="000000"/>
          <w:sz w:val="28"/>
          <w:szCs w:val="28"/>
        </w:rPr>
        <w:t>（三）乙方提供</w:t>
      </w:r>
      <w:r>
        <w:rPr>
          <w:rFonts w:hint="eastAsia" w:ascii="华文仿宋" w:hAnsi="华文仿宋" w:cs="宋体"/>
          <w:b/>
          <w:bCs/>
          <w:color w:val="000000"/>
          <w:sz w:val="28"/>
          <w:szCs w:val="28"/>
          <w:lang w:eastAsia="zh-CN"/>
        </w:rPr>
        <w:t>普通增值税</w:t>
      </w:r>
      <w:r>
        <w:rPr>
          <w:rFonts w:hint="eastAsia" w:ascii="华文仿宋" w:hAnsi="华文仿宋" w:cs="宋体"/>
          <w:b/>
          <w:bCs/>
          <w:color w:val="000000"/>
          <w:sz w:val="28"/>
          <w:szCs w:val="28"/>
        </w:rPr>
        <w:t>发票。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四、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000000"/>
          <w:sz w:val="28"/>
          <w:szCs w:val="28"/>
        </w:rPr>
        <w:t>保证金的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支付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cs="宋体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000000"/>
          <w:sz w:val="28"/>
          <w:szCs w:val="28"/>
        </w:rPr>
        <w:t>保证金</w:t>
      </w:r>
      <w:r>
        <w:rPr>
          <w:rFonts w:hint="eastAsia" w:cs="宋体"/>
          <w:sz w:val="28"/>
          <w:szCs w:val="28"/>
        </w:rPr>
        <w:t>在</w:t>
      </w:r>
      <w:r>
        <w:rPr>
          <w:rFonts w:hint="eastAsia" w:cs="宋体"/>
          <w:sz w:val="28"/>
          <w:szCs w:val="28"/>
          <w:lang w:val="en-US" w:eastAsia="zh-Hans"/>
        </w:rPr>
        <w:t>物品</w:t>
      </w:r>
      <w:r>
        <w:rPr>
          <w:rFonts w:hint="eastAsia" w:cs="宋体"/>
          <w:sz w:val="28"/>
          <w:szCs w:val="28"/>
          <w:lang w:eastAsia="zh-CN"/>
        </w:rPr>
        <w:t>质保期</w:t>
      </w:r>
      <w:r>
        <w:rPr>
          <w:rFonts w:hint="eastAsia" w:cs="宋体"/>
          <w:sz w:val="28"/>
          <w:szCs w:val="28"/>
        </w:rPr>
        <w:t>满后无遗留问题时</w:t>
      </w:r>
      <w:r>
        <w:rPr>
          <w:rFonts w:hint="eastAsia" w:cs="宋体"/>
          <w:sz w:val="28"/>
          <w:szCs w:val="28"/>
          <w:lang w:eastAsia="zh-CN"/>
        </w:rPr>
        <w:t>一个月内</w:t>
      </w:r>
      <w:r>
        <w:rPr>
          <w:rFonts w:hint="eastAsia" w:cs="宋体"/>
          <w:sz w:val="28"/>
          <w:szCs w:val="28"/>
        </w:rPr>
        <w:t>无息</w:t>
      </w:r>
      <w:r>
        <w:rPr>
          <w:rFonts w:hint="eastAsia" w:cs="宋体"/>
          <w:sz w:val="28"/>
          <w:szCs w:val="28"/>
          <w:lang w:eastAsia="zh-CN"/>
        </w:rPr>
        <w:t>支付。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五、质保期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与售后服务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default" w:ascii="华文仿宋" w:hAnsi="华文仿宋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华文仿宋" w:hAnsi="华文仿宋" w:eastAsia="宋体" w:cs="宋体"/>
          <w:color w:val="000000"/>
          <w:sz w:val="28"/>
          <w:szCs w:val="28"/>
        </w:rPr>
        <w:t>质保期内出现非人为原因的故障或者配件损坏，由乙方免费更换、修理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。维修人员需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CN"/>
        </w:rPr>
        <w:t>2小时内电话响应，24小时到达现场。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  <w:lang w:val="en-US" w:eastAsia="zh-Hans"/>
        </w:rPr>
        <w:t>六</w:t>
      </w:r>
      <w:r>
        <w:rPr>
          <w:rFonts w:hint="eastAsia" w:ascii="华文仿宋" w:hAnsi="华文仿宋" w:cs="宋体"/>
          <w:color w:val="000000"/>
          <w:sz w:val="28"/>
          <w:szCs w:val="28"/>
        </w:rPr>
        <w:t>、违约责任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（一）乙方须按期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完成安装</w:t>
      </w:r>
      <w:r>
        <w:rPr>
          <w:rFonts w:hint="eastAsia" w:ascii="华文仿宋" w:hAnsi="华文仿宋" w:cs="宋体"/>
          <w:color w:val="000000"/>
          <w:sz w:val="28"/>
          <w:szCs w:val="28"/>
        </w:rPr>
        <w:t>。每拖延一天，交纳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CN"/>
        </w:rPr>
        <w:t>50元</w:t>
      </w:r>
      <w:r>
        <w:rPr>
          <w:rFonts w:hint="eastAsia" w:ascii="华文仿宋" w:hAnsi="华文仿宋" w:cs="宋体"/>
          <w:color w:val="000000"/>
          <w:sz w:val="28"/>
          <w:szCs w:val="28"/>
        </w:rPr>
        <w:t>违约金，从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000000"/>
          <w:sz w:val="28"/>
          <w:szCs w:val="28"/>
        </w:rPr>
        <w:t>保证金中扣除。当违约金达到合同价款的10％时，甲方有权终止合同，另选供货单位。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color w:val="000000"/>
          <w:sz w:val="28"/>
          <w:szCs w:val="28"/>
        </w:rPr>
        <w:t>）乙方不能及时提供服务的，每逾期一次，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质保</w:t>
      </w:r>
      <w:r>
        <w:rPr>
          <w:rFonts w:hint="eastAsia" w:ascii="华文仿宋" w:hAnsi="华文仿宋" w:cs="宋体"/>
          <w:color w:val="000000"/>
          <w:sz w:val="28"/>
          <w:szCs w:val="28"/>
        </w:rPr>
        <w:t>期限延长30天。因乙方不能及时提供服务，甲方有权安排第三方进行处理，费用从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000000"/>
          <w:sz w:val="28"/>
          <w:szCs w:val="28"/>
        </w:rPr>
        <w:t>保证金中扣除，大于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000000"/>
          <w:sz w:val="28"/>
          <w:szCs w:val="28"/>
        </w:rPr>
        <w:t>保证金的甲方有权向乙方追偿。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（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华文仿宋" w:hAnsi="华文仿宋" w:cs="宋体"/>
          <w:color w:val="000000"/>
          <w:sz w:val="28"/>
          <w:szCs w:val="28"/>
        </w:rPr>
        <w:t>）乙方提供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000000"/>
          <w:sz w:val="28"/>
          <w:szCs w:val="28"/>
        </w:rPr>
        <w:t>为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非全新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或者</w:t>
      </w:r>
      <w:r>
        <w:rPr>
          <w:rFonts w:hint="eastAsia" w:ascii="华文仿宋" w:hAnsi="华文仿宋" w:cs="宋体"/>
          <w:color w:val="000000"/>
          <w:sz w:val="28"/>
          <w:szCs w:val="28"/>
        </w:rPr>
        <w:t>与中标文件不符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华文仿宋" w:hAnsi="华文仿宋" w:cs="宋体"/>
          <w:color w:val="000000"/>
          <w:sz w:val="28"/>
          <w:szCs w:val="28"/>
        </w:rPr>
        <w:t>，甲方拒付所有款项，履约保证金不予退还。因非全新</w:t>
      </w:r>
      <w:r>
        <w:rPr>
          <w:rFonts w:hint="eastAsia" w:ascii="华文仿宋" w:hAnsi="华文仿宋" w:cs="宋体"/>
          <w:color w:val="000000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000000"/>
          <w:sz w:val="28"/>
          <w:szCs w:val="28"/>
        </w:rPr>
        <w:t>或者与中标文件不符给甲方造成损失由乙方承担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，乙方</w:t>
      </w:r>
      <w:r>
        <w:rPr>
          <w:rFonts w:hint="eastAsia" w:ascii="华文仿宋" w:hAnsi="华文仿宋" w:cs="宋体"/>
          <w:color w:val="000000"/>
          <w:sz w:val="28"/>
          <w:szCs w:val="28"/>
        </w:rPr>
        <w:t>还应赔偿包括但不限于诉讼费、律师费、差旅费等</w:t>
      </w:r>
      <w:r>
        <w:rPr>
          <w:rFonts w:hint="eastAsia" w:ascii="华文仿宋" w:hAnsi="华文仿宋" w:cs="宋体"/>
          <w:color w:val="000000"/>
          <w:sz w:val="28"/>
          <w:szCs w:val="28"/>
          <w:lang w:eastAsia="zh-CN"/>
        </w:rPr>
        <w:t>费用</w:t>
      </w:r>
      <w:r>
        <w:rPr>
          <w:rFonts w:hint="eastAsia" w:ascii="华文仿宋" w:hAnsi="华文仿宋" w:cs="宋体"/>
          <w:color w:val="000000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cs="宋体"/>
          <w:color w:val="000000"/>
          <w:sz w:val="30"/>
          <w:szCs w:val="30"/>
          <w:lang w:val="en-US" w:eastAsia="zh-Hans"/>
        </w:rPr>
        <w:t>七</w:t>
      </w:r>
      <w:r>
        <w:rPr>
          <w:rFonts w:hint="eastAsia" w:ascii="华文仿宋" w:hAnsi="华文仿宋" w:cs="宋体"/>
          <w:color w:val="000000"/>
          <w:sz w:val="30"/>
          <w:szCs w:val="30"/>
        </w:rPr>
        <w:t>、解决纠纷方式</w:t>
      </w:r>
    </w:p>
    <w:p>
      <w:pPr>
        <w:spacing w:line="460" w:lineRule="exact"/>
        <w:jc w:val="left"/>
        <w:rPr>
          <w:rFonts w:hint="eastAsia" w:ascii="华文仿宋" w:hAnsi="华文仿宋" w:cs="宋体"/>
          <w:color w:val="000000"/>
          <w:sz w:val="28"/>
          <w:szCs w:val="28"/>
        </w:rPr>
      </w:pPr>
      <w:r>
        <w:rPr>
          <w:rFonts w:hint="eastAsia" w:ascii="华文仿宋" w:hAnsi="华文仿宋" w:cs="宋体"/>
          <w:color w:val="000000"/>
          <w:sz w:val="28"/>
          <w:szCs w:val="28"/>
        </w:rPr>
        <w:t>双方约定，本合同在履行过程中发生的争议，由双方当事人协商解决，协商不成的依法向甲方所在地人民法院提起诉讼。</w:t>
      </w:r>
    </w:p>
    <w:p>
      <w:pPr>
        <w:spacing w:line="460" w:lineRule="exact"/>
        <w:jc w:val="both"/>
        <w:rPr>
          <w:rFonts w:hint="eastAsia" w:ascii="黑体" w:hAnsi="宋体" w:eastAsia="黑体"/>
          <w:color w:val="auto"/>
          <w:sz w:val="30"/>
          <w:szCs w:val="30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bookmarkStart w:id="14" w:name="_Hlt509738950"/>
      <w:bookmarkEnd w:id="14"/>
    </w:p>
    <w:sectPr>
      <w:footerReference r:id="rId7" w:type="first"/>
      <w:headerReference r:id="rId5" w:type="default"/>
      <w:footerReference r:id="rId6" w:type="default"/>
      <w:pgSz w:w="11907" w:h="16840"/>
      <w:pgMar w:top="720" w:right="720" w:bottom="720" w:left="940" w:header="851" w:footer="1531" w:gutter="0"/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  <w:rFonts w:hint="eastAsia"/>
      </w:rPr>
    </w:pPr>
  </w:p>
  <w:p>
    <w:pPr>
      <w:pStyle w:val="10"/>
      <w:rPr>
        <w:rFonts w:hint="eastAsia"/>
        <w:szCs w:val="21"/>
      </w:rPr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D08C5"/>
    <w:multiLevelType w:val="singleLevel"/>
    <w:tmpl w:val="FC7D0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D2B7514"/>
    <w:rsid w:val="01BE5028"/>
    <w:rsid w:val="032C4086"/>
    <w:rsid w:val="034C4289"/>
    <w:rsid w:val="03CB018A"/>
    <w:rsid w:val="05EA1E28"/>
    <w:rsid w:val="06304C93"/>
    <w:rsid w:val="074107DA"/>
    <w:rsid w:val="075D629F"/>
    <w:rsid w:val="0A2C0351"/>
    <w:rsid w:val="0B8B2BE2"/>
    <w:rsid w:val="11522A6B"/>
    <w:rsid w:val="129C68AE"/>
    <w:rsid w:val="140479A2"/>
    <w:rsid w:val="15187886"/>
    <w:rsid w:val="15A20618"/>
    <w:rsid w:val="15FA2BC8"/>
    <w:rsid w:val="1712171C"/>
    <w:rsid w:val="18181DFF"/>
    <w:rsid w:val="18E257D3"/>
    <w:rsid w:val="1BC96D71"/>
    <w:rsid w:val="1E73531F"/>
    <w:rsid w:val="211C7540"/>
    <w:rsid w:val="24352E37"/>
    <w:rsid w:val="24DB3C79"/>
    <w:rsid w:val="250D7AF6"/>
    <w:rsid w:val="25B23C0D"/>
    <w:rsid w:val="2BFB7259"/>
    <w:rsid w:val="2D1E73A5"/>
    <w:rsid w:val="2D672D4A"/>
    <w:rsid w:val="2DF50628"/>
    <w:rsid w:val="30517656"/>
    <w:rsid w:val="32546D64"/>
    <w:rsid w:val="333D3C9C"/>
    <w:rsid w:val="34D31369"/>
    <w:rsid w:val="34F62354"/>
    <w:rsid w:val="36BC432E"/>
    <w:rsid w:val="37344B11"/>
    <w:rsid w:val="380B04EE"/>
    <w:rsid w:val="38230A27"/>
    <w:rsid w:val="39B759DC"/>
    <w:rsid w:val="3A66589C"/>
    <w:rsid w:val="3AD40D45"/>
    <w:rsid w:val="3C9B3F0D"/>
    <w:rsid w:val="3D7D1865"/>
    <w:rsid w:val="3F375E56"/>
    <w:rsid w:val="413E52A6"/>
    <w:rsid w:val="424F5E90"/>
    <w:rsid w:val="43014CE6"/>
    <w:rsid w:val="433C187A"/>
    <w:rsid w:val="440D6A7E"/>
    <w:rsid w:val="44167592"/>
    <w:rsid w:val="441743AC"/>
    <w:rsid w:val="44A67AAA"/>
    <w:rsid w:val="44F06DBE"/>
    <w:rsid w:val="4BEB588D"/>
    <w:rsid w:val="4C624043"/>
    <w:rsid w:val="4DBF79B1"/>
    <w:rsid w:val="4E4568C3"/>
    <w:rsid w:val="4E460794"/>
    <w:rsid w:val="4F8E0BB0"/>
    <w:rsid w:val="50046FE1"/>
    <w:rsid w:val="52AB30AC"/>
    <w:rsid w:val="55097B6F"/>
    <w:rsid w:val="5522395C"/>
    <w:rsid w:val="58CD4FF7"/>
    <w:rsid w:val="5CE96177"/>
    <w:rsid w:val="5D2B7514"/>
    <w:rsid w:val="5D2D5AA6"/>
    <w:rsid w:val="5F300020"/>
    <w:rsid w:val="5FA171DD"/>
    <w:rsid w:val="614E520A"/>
    <w:rsid w:val="627D7586"/>
    <w:rsid w:val="62E23487"/>
    <w:rsid w:val="637569B7"/>
    <w:rsid w:val="6A7A3035"/>
    <w:rsid w:val="6CDB39FC"/>
    <w:rsid w:val="6D47333A"/>
    <w:rsid w:val="6EFF130B"/>
    <w:rsid w:val="71824EFF"/>
    <w:rsid w:val="71A321F2"/>
    <w:rsid w:val="76114D74"/>
    <w:rsid w:val="77E90049"/>
    <w:rsid w:val="77FF2280"/>
    <w:rsid w:val="7B78070C"/>
    <w:rsid w:val="7BC00DE2"/>
    <w:rsid w:val="7BDD99FA"/>
    <w:rsid w:val="7DC4311D"/>
    <w:rsid w:val="7E060574"/>
    <w:rsid w:val="7F6D15ED"/>
    <w:rsid w:val="7FE3F4BF"/>
    <w:rsid w:val="7FFF0130"/>
    <w:rsid w:val="9ADDE086"/>
    <w:rsid w:val="B6F30B44"/>
    <w:rsid w:val="BEFE0BE8"/>
    <w:rsid w:val="BF6A69D7"/>
    <w:rsid w:val="D7DEFD4D"/>
    <w:rsid w:val="DECF9124"/>
    <w:rsid w:val="DFBCEAA8"/>
    <w:rsid w:val="E6FEDA72"/>
    <w:rsid w:val="EFDE337F"/>
    <w:rsid w:val="F22D8843"/>
    <w:rsid w:val="F35AE538"/>
    <w:rsid w:val="F79F2697"/>
    <w:rsid w:val="FBFBFEFA"/>
    <w:rsid w:val="FDDE7973"/>
    <w:rsid w:val="FDFE8447"/>
    <w:rsid w:val="FFE2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63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Plain Text"/>
    <w:basedOn w:val="1"/>
    <w:qFormat/>
    <w:uiPriority w:val="0"/>
    <w:rPr>
      <w:rFonts w:ascii="宋体" w:hAnsi="Courier New" w:cstheme="minorBidi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Theme="minorHAnsi" w:hAnsiTheme="minorHAnsi" w:cstheme="minorBidi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2031</Words>
  <Characters>2139</Characters>
  <Lines>0</Lines>
  <Paragraphs>0</Paragraphs>
  <TotalTime>1</TotalTime>
  <ScaleCrop>false</ScaleCrop>
  <LinksUpToDate>false</LinksUpToDate>
  <CharactersWithSpaces>2175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2021-12-22T00:13:00Z</cp:lastPrinted>
  <dcterms:modified xsi:type="dcterms:W3CDTF">2022-06-29T10:11:19Z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FCC7B352F3F641EC96D0FA3B2FC7833D</vt:lpwstr>
  </property>
</Properties>
</file>