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CN"/>
        </w:rPr>
        <w:t>安徽皖北康复医院碳-14集气卡与配套尿素［14C］胶囊采购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CN"/>
        </w:rPr>
        <w:t>项目比</w:t>
      </w: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000000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1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安徽皖北康复医院碳-14集气卡与配套尿素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［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14C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胶囊采购项目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安徽皖北康复医院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固定单价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合同期限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具有医疗器械经营许可或备案凭证；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。商务标和资格标分别装订，分别用文件袋密封。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递交方式见比价公告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通知书后10日内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00000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次月货款为上月货物的质量保证金。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现金缴纳2000元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9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9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19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19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19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Style w:val="19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19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Style w:val="19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  <w:bookmarkStart w:id="15" w:name="_GoBack"/>
            <w:bookmarkEnd w:id="15"/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</w:rPr>
        <w:t>供应商</w:t>
      </w:r>
      <w:r>
        <w:rPr>
          <w:rFonts w:hint="eastAsia" w:ascii="宋体" w:hAnsi="宋体"/>
          <w:b/>
          <w:sz w:val="36"/>
          <w:szCs w:val="36"/>
        </w:rPr>
        <w:t>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1、概况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安徽皖北康复医院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现需采购两年期碳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-14集气卡与配套尿素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［14C］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胶囊，用于幽门螺旋杆菌的筛查，两年采购约8千份。</w:t>
      </w:r>
      <w:r>
        <w:rPr>
          <w:rFonts w:hint="eastAsia"/>
          <w:color w:val="auto"/>
          <w:sz w:val="28"/>
          <w:szCs w:val="28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采购清单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85"/>
        <w:gridCol w:w="1155"/>
        <w:gridCol w:w="14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项目内容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响应单价（元）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碳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-14集气卡与配套尿素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〔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14C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胶囊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人份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要求：合同签订后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30日内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免费赠送一套呼气配套设备，合同期限内供应商对呼气配套设备承担免费保修义务。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呼气配套设备参数要求: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1.用双通道插卡样板采集数据，操作非常方便，仅需插卡，无需按键就可自动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完成测量。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2. 自动给出 DPM 及HP 感染的阴性，不确定，阳性+，阳性++，阳性++，阳性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++++六类诊断结果。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3. 自动进行测量数据打印，自带热量式微型打印机。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4.计数精密度:根据国家计量测试技术研究院标准。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5.校准标准:由采国家承认权威第三方出具校准证书和校准设备。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6. 检测样本的准确度:≥90% 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7.仪器可随时升级，与用户电脑系统连接实现海量数据管理和连接标准打印机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打印格式化报告。</w:t>
      </w:r>
    </w:p>
    <w:p>
      <w:pPr>
        <w:numPr>
          <w:ilvl w:val="0"/>
          <w:numId w:val="3"/>
        </w:numPr>
        <w:snapToGrid w:val="0"/>
        <w:spacing w:line="460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可接入医院局域网，连接扫码枪，接入LIS，HIS等系统，无系统端口接入费用。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报价采用固定价格方式，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所有</w:t>
      </w:r>
      <w:r>
        <w:rPr>
          <w:rFonts w:hint="eastAsia" w:ascii="宋体" w:hAnsi="宋体" w:eastAsia="宋体" w:cs="宋体"/>
          <w:sz w:val="28"/>
          <w:szCs w:val="28"/>
        </w:rPr>
        <w:t>项目的报价均包含了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sz w:val="28"/>
          <w:szCs w:val="28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应该支付的购买价格。</w:t>
      </w:r>
    </w:p>
    <w:p>
      <w:pPr>
        <w:snapToGrid w:val="0"/>
        <w:spacing w:line="4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比价</w:t>
      </w:r>
      <w:r>
        <w:rPr>
          <w:rFonts w:hint="eastAsia" w:ascii="宋体" w:hAnsi="宋体" w:eastAsia="宋体" w:cs="宋体"/>
          <w:b/>
          <w:sz w:val="32"/>
          <w:szCs w:val="32"/>
        </w:rPr>
        <w:t>费用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sz w:val="28"/>
          <w:szCs w:val="28"/>
        </w:rPr>
        <w:t>中产生的一切费用自理。</w:t>
      </w:r>
    </w:p>
    <w:p>
      <w:pPr>
        <w:spacing w:line="4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.</w:t>
      </w:r>
      <w:bookmarkStart w:id="0" w:name="_Toc296602429"/>
      <w:bookmarkStart w:id="1" w:name="_Toc152042315"/>
      <w:bookmarkStart w:id="2" w:name="_Toc247513962"/>
      <w:bookmarkStart w:id="3" w:name="_Toc144974507"/>
      <w:bookmarkStart w:id="4" w:name="_Toc247592876"/>
      <w:bookmarkStart w:id="5" w:name="_Toc152045539"/>
      <w:bookmarkStart w:id="6" w:name="_Toc247527563"/>
      <w:r>
        <w:rPr>
          <w:rFonts w:hint="eastAsia" w:ascii="宋体" w:hAnsi="宋体" w:eastAsia="宋体" w:cs="宋体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60" w:lineRule="exact"/>
        <w:ind w:firstLine="546" w:firstLineChars="19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踏勘现场发生的费用自理。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友情提醒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请戴口罩，扫安康码进入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单位和开标场所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14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7.1加盖供应商公章的响应报价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14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。</w:t>
      </w:r>
    </w:p>
    <w:p>
      <w:pPr>
        <w:pStyle w:val="14"/>
        <w:ind w:left="0" w:leftChars="0" w:firstLine="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7.3供应商认为应当提交的其他资料。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如果实际参与的客户不足两家，采取洽商方式议定。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采购人将报价最低的供应商作为谈判对象，进行二轮谈判。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，按报价从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排序，价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者得，在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14"/>
        <w:ind w:left="0" w:leftChars="0" w:firstLine="0" w:firstLineChars="0"/>
        <w:rPr>
          <w:rFonts w:hint="eastAsia"/>
        </w:rPr>
      </w:pPr>
    </w:p>
    <w:p>
      <w:pPr>
        <w:widowControl w:val="0"/>
        <w:spacing w:line="360" w:lineRule="auto"/>
        <w:ind w:firstLine="1968" w:firstLineChars="700"/>
        <w:textAlignment w:val="auto"/>
        <w:outlineLvl w:val="0"/>
        <w:rPr>
          <w:rFonts w:hint="eastAsia" w:ascii="宋体" w:hAnsi="宋体"/>
          <w:b/>
          <w:color w:val="auto"/>
          <w:sz w:val="28"/>
          <w:szCs w:val="28"/>
        </w:rPr>
      </w:pPr>
      <w:bookmarkStart w:id="7" w:name="_Toc208906016"/>
      <w:bookmarkEnd w:id="7"/>
      <w:bookmarkStart w:id="8" w:name="_Toc208905859"/>
      <w:bookmarkEnd w:id="8"/>
      <w:bookmarkStart w:id="9" w:name="_Toc208905556"/>
      <w:bookmarkEnd w:id="9"/>
      <w:bookmarkStart w:id="10" w:name="_Toc209328433"/>
      <w:bookmarkEnd w:id="10"/>
      <w:bookmarkStart w:id="11" w:name="_Toc419280536"/>
      <w:bookmarkEnd w:id="11"/>
      <w:bookmarkStart w:id="12" w:name="_Toc206908062"/>
      <w:bookmarkEnd w:id="12"/>
      <w:bookmarkStart w:id="13" w:name="_Toc192585800"/>
      <w:bookmarkEnd w:id="13"/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 xml:space="preserve"> 三、合同主要条款</w:t>
      </w:r>
    </w:p>
    <w:p>
      <w:pPr>
        <w:pStyle w:val="12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cs="宋体"/>
          <w:color w:val="auto"/>
        </w:rPr>
      </w:pPr>
      <w:bookmarkStart w:id="14" w:name="_Hlt509738950"/>
      <w:bookmarkEnd w:id="14"/>
      <w:r>
        <w:rPr>
          <w:rFonts w:hint="eastAsia" w:cs="宋体"/>
          <w:color w:val="auto"/>
        </w:rPr>
        <w:t>以下合同主要条款中甲方为</w:t>
      </w:r>
      <w:r>
        <w:rPr>
          <w:rFonts w:hint="eastAsia" w:cs="宋体"/>
          <w:color w:val="auto"/>
          <w:lang w:eastAsia="zh-CN"/>
        </w:rPr>
        <w:t>采购人</w:t>
      </w:r>
      <w:r>
        <w:rPr>
          <w:rFonts w:hint="eastAsia" w:cs="宋体"/>
          <w:color w:val="auto"/>
        </w:rPr>
        <w:t>，乙方为</w:t>
      </w:r>
      <w:r>
        <w:rPr>
          <w:rFonts w:hint="eastAsia" w:cs="宋体"/>
          <w:color w:val="auto"/>
          <w:lang w:eastAsia="zh-CN"/>
        </w:rPr>
        <w:t>供应商</w:t>
      </w:r>
      <w:r>
        <w:rPr>
          <w:rFonts w:hint="eastAsia" w:cs="宋体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一、合同期限</w:t>
      </w:r>
    </w:p>
    <w:p>
      <w:pPr>
        <w:pStyle w:val="12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合同期限</w:t>
      </w:r>
      <w:r>
        <w:rPr>
          <w:rFonts w:hint="eastAsia" w:ascii="宋体" w:hAnsi="宋体" w:cs="宋体"/>
          <w:color w:val="auto"/>
          <w:lang w:eastAsia="zh-CN"/>
        </w:rPr>
        <w:t>两年</w:t>
      </w:r>
      <w:r>
        <w:rPr>
          <w:rFonts w:hint="eastAsia" w:cs="宋体"/>
          <w:color w:val="auto"/>
        </w:rPr>
        <w:t>。</w:t>
      </w:r>
    </w:p>
    <w:p>
      <w:pPr>
        <w:pStyle w:val="12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cs="宋体"/>
          <w:b/>
          <w:bCs/>
          <w:color w:val="auto"/>
          <w:lang w:eastAsia="zh-CN"/>
        </w:rPr>
      </w:pPr>
      <w:r>
        <w:rPr>
          <w:rFonts w:hint="eastAsia" w:cs="宋体"/>
          <w:b/>
          <w:bCs/>
          <w:color w:val="auto"/>
          <w:lang w:eastAsia="zh-CN"/>
        </w:rPr>
        <w:t>价格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280" w:firstLineChars="100"/>
        <w:jc w:val="left"/>
        <w:rPr>
          <w:rFonts w:hint="eastAsia" w:ascii="华文仿宋" w:hAnsi="华文仿宋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组成：货物</w:t>
      </w:r>
      <w:r>
        <w:rPr>
          <w:rFonts w:hint="eastAsia" w:ascii="华文仿宋" w:hAnsi="华文仿宋" w:cs="宋体"/>
          <w:color w:val="000000"/>
          <w:sz w:val="28"/>
          <w:szCs w:val="28"/>
        </w:rPr>
        <w:t>生产成本、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运输</w:t>
      </w:r>
      <w:r>
        <w:rPr>
          <w:rFonts w:hint="eastAsia" w:ascii="华文仿宋" w:hAnsi="华文仿宋" w:cs="宋体"/>
          <w:color w:val="000000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伴随服务、税费及其他一切附加费用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即投标人承担货物及配送的所有费用。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280" w:firstLineChars="100"/>
        <w:jc w:val="left"/>
        <w:rPr>
          <w:rFonts w:hint="eastAsia" w:ascii="华文仿宋" w:hAnsi="华文仿宋" w:cs="宋体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货物</w:t>
      </w:r>
      <w:r>
        <w:rPr>
          <w:rFonts w:hint="eastAsia" w:asciiTheme="minorEastAsia" w:hAnsiTheme="minorEastAsia" w:cstheme="minorEastAsia"/>
          <w:sz w:val="28"/>
          <w:szCs w:val="28"/>
        </w:rPr>
        <w:t>配送价格执行乙方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响应</w:t>
      </w:r>
      <w:r>
        <w:rPr>
          <w:rFonts w:hint="eastAsia" w:asciiTheme="minorEastAsia" w:hAnsiTheme="minorEastAsia" w:cstheme="minorEastAsia"/>
          <w:sz w:val="28"/>
          <w:szCs w:val="28"/>
        </w:rPr>
        <w:t>单价。合同履行期间，如遇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市场重大变化（非商业风险），</w:t>
      </w:r>
      <w:r>
        <w:rPr>
          <w:rFonts w:hint="eastAsia" w:asciiTheme="minorEastAsia" w:hAnsiTheme="minorEastAsia" w:cstheme="minorEastAsia"/>
          <w:sz w:val="28"/>
          <w:szCs w:val="28"/>
        </w:rPr>
        <w:t>采购单价根据市场变化协商制定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三、购销方式及供货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（一）购销方式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1、乙方根据甲方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采购计划分批次供货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（每月采购一次）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2、甲方采购计划通过邮件、微信等报单的形式发出，乙方确认订单并配送。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（二）供货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1、乙方按甲方采购计划，及时、准确、完整地将所定计划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和配送单据（销售发票、送货清单等）一同送达，节假日照常配送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一般情况下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7日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内配送到位。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2、乙方严格按照甲方采购计划要求的材质、规格、型号、包装进行配送,不得以次充好。乙方所提供产品的有效期不得少于整个产品效期的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>2/3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，乙方对产品在有效期内的质量负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责，如甲方有疑问，应及时应答。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、乙方对采购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信息回复必须在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24小时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内完成，不能及时配送的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要在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72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小时内告知。如若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规格、数量发生变化时，应提前与甲方联系，待甲方审核同意后方可执行。乙方在对甲方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采购计划实施配送后，需及时告知甲方到货时间，并提前通知乙方业务员，以便双方人员同时到达验货地点共同验收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四、包装要求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除非对包装另有规定外，乙方提供的全部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应按国家标准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或行业标准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要求的保护措施进行包装，以防止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在转运中损坏，确保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安全无损运抵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指定地点。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rPr>
          <w:rFonts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、 验收标准、方法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甲方在接收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时，</w:t>
      </w:r>
      <w:r>
        <w:rPr>
          <w:rFonts w:asciiTheme="minorEastAsia" w:hAnsiTheme="minorEastAsia" w:cstheme="minorEastAsia"/>
          <w:color w:val="auto"/>
          <w:sz w:val="28"/>
          <w:szCs w:val="28"/>
          <w:highlight w:val="none"/>
        </w:rPr>
        <w:t>由采购主办部门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进行验货确认，如与计划中的数量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、质量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等任何一项不相符的，甲方有权拒绝收货，此时货物毁损灭失的风险由乙方承担。甲方在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小时内以邮件、微信等形式通知乙方，双方在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日内办理退、补、更换货手续，不得影响甲方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使用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、结算与支付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（一）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结算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价格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执行投标人投标报价。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（二）结算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以甲方确认的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实际配送量为依据进行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合计。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（三）支付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无预付款，转账支付。上月计划量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款待次月计划量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验收合格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收到发票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个月内付清，以此类推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末月计划量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款待该月计划量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验收合格无遗留问题后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，一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个月内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支付对应款项的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90%，余款10%作为质保金，一年内付清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（四）乙方提供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增值税普通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发票。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、质量保证金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cs="宋体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次月计划量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款</w:t>
      </w:r>
      <w:r>
        <w:rPr>
          <w:rFonts w:hint="eastAsia" w:cs="宋体"/>
          <w:color w:val="auto"/>
          <w:sz w:val="28"/>
          <w:szCs w:val="28"/>
          <w:highlight w:val="none"/>
        </w:rPr>
        <w:t>为上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月计划量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的</w:t>
      </w:r>
      <w:r>
        <w:rPr>
          <w:rFonts w:hint="eastAsia" w:cs="宋体"/>
          <w:color w:val="auto"/>
          <w:sz w:val="28"/>
          <w:szCs w:val="28"/>
          <w:highlight w:val="none"/>
        </w:rPr>
        <w:t>质量保证金。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jc w:val="left"/>
        <w:textAlignment w:val="auto"/>
        <w:rPr>
          <w:rFonts w:ascii="Calibri" w:hAnsi="Calibri" w:cs="宋体"/>
          <w:b/>
          <w:bCs/>
          <w:color w:val="auto"/>
        </w:rPr>
      </w:pPr>
      <w:r>
        <w:rPr>
          <w:rFonts w:hint="eastAsia" w:ascii="Calibri" w:hAnsi="Calibri" w:cs="宋体"/>
          <w:b/>
          <w:bCs/>
          <w:color w:val="auto"/>
          <w:lang w:eastAsia="zh-CN"/>
        </w:rPr>
        <w:t>八</w:t>
      </w:r>
      <w:r>
        <w:rPr>
          <w:rFonts w:hint="eastAsia" w:ascii="Calibri" w:hAnsi="Calibri" w:cs="宋体"/>
          <w:b/>
          <w:bCs/>
          <w:color w:val="auto"/>
        </w:rPr>
        <w:t>、违约责任</w:t>
      </w:r>
    </w:p>
    <w:p>
      <w:pPr>
        <w:pStyle w:val="12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cs="宋体"/>
          <w:color w:val="auto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（一）签订协议后，乙方在合同规定的供货时间内不能及时配送甲方所需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的，每逾期一次，按逾期配送货款的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%缴纳违约金，从应付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款中扣除。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）乙方要切实保证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质量，严禁配送假冒、伪劣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产品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，若因乙方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质量问题引起纠纷或赔偿以及其它法律责任，乙方须承担全部责任。发生一起供应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假劣货物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情况，甲方有权解除合同关系。乙方除承担上述所有责任外，甲方将扣除应付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货款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（三）乙方在合同规定的供货时间内不能及时配送甲方所需货物的，甲方将安排第三方单位进行配送，配送货物价格高于响应单价的部分费用由乙方承担，从乙方的应付货款款中扣除。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（四）因终止或解除配送合同给甲方造成损失的，乙方还应赔偿甲方包括但不限于诉讼费、律师费、差旅费等费用。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2" w:firstLineChars="200"/>
        <w:jc w:val="left"/>
        <w:textAlignment w:val="auto"/>
        <w:rPr>
          <w:rFonts w:ascii="华文仿宋" w:hAnsi="华文仿宋" w:cs="宋体"/>
          <w:b/>
          <w:bCs/>
          <w:color w:val="auto"/>
          <w:sz w:val="30"/>
          <w:szCs w:val="30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</w:rPr>
        <w:t>九、解决纠纷方式</w:t>
      </w:r>
    </w:p>
    <w:p>
      <w:pPr>
        <w:pStyle w:val="12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华文仿宋" w:hAnsi="华文仿宋" w:cs="宋体"/>
          <w:color w:val="auto"/>
        </w:rPr>
      </w:pPr>
      <w:r>
        <w:rPr>
          <w:rFonts w:hint="eastAsia" w:ascii="华文仿宋" w:hAnsi="华文仿宋" w:cs="宋体"/>
          <w:color w:val="auto"/>
        </w:rPr>
        <w:t>本合同在履行过程中发生的争议，由双方当事人协商解决</w:t>
      </w:r>
      <w:r>
        <w:rPr>
          <w:rFonts w:hint="eastAsia" w:ascii="华文仿宋" w:hAnsi="华文仿宋" w:cs="宋体"/>
          <w:color w:val="auto"/>
          <w:lang w:eastAsia="zh-CN"/>
        </w:rPr>
        <w:t>，</w:t>
      </w:r>
      <w:r>
        <w:rPr>
          <w:rFonts w:hint="eastAsia" w:ascii="华文仿宋" w:hAnsi="华文仿宋" w:cs="宋体"/>
          <w:color w:val="auto"/>
        </w:rPr>
        <w:t>可由当地市场监督管理部门调解；协商或调解不成的，依法向合同签订地人民法院起诉。</w:t>
      </w:r>
    </w:p>
    <w:p/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AC1A9"/>
    <w:multiLevelType w:val="singleLevel"/>
    <w:tmpl w:val="BBDAC1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9A1252"/>
    <w:multiLevelType w:val="singleLevel"/>
    <w:tmpl w:val="BF9A125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091E65"/>
    <w:multiLevelType w:val="singleLevel"/>
    <w:tmpl w:val="37091E65"/>
    <w:lvl w:ilvl="0" w:tentative="0">
      <w:start w:val="8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1238BA"/>
    <w:rsid w:val="01BE5028"/>
    <w:rsid w:val="032C4086"/>
    <w:rsid w:val="034C4289"/>
    <w:rsid w:val="03CB018A"/>
    <w:rsid w:val="03EA0739"/>
    <w:rsid w:val="05EA1E28"/>
    <w:rsid w:val="06304C93"/>
    <w:rsid w:val="074107DA"/>
    <w:rsid w:val="075D629F"/>
    <w:rsid w:val="0A2C0351"/>
    <w:rsid w:val="0B8B2BE2"/>
    <w:rsid w:val="0D6214AA"/>
    <w:rsid w:val="0D664015"/>
    <w:rsid w:val="11522A6B"/>
    <w:rsid w:val="129C68AE"/>
    <w:rsid w:val="140479A2"/>
    <w:rsid w:val="15187886"/>
    <w:rsid w:val="15A20618"/>
    <w:rsid w:val="15FA2BC8"/>
    <w:rsid w:val="1712171C"/>
    <w:rsid w:val="18181DFF"/>
    <w:rsid w:val="18E257D3"/>
    <w:rsid w:val="1BC96D71"/>
    <w:rsid w:val="1C1A62C8"/>
    <w:rsid w:val="1E73531F"/>
    <w:rsid w:val="211C7540"/>
    <w:rsid w:val="24352E37"/>
    <w:rsid w:val="24DB3C79"/>
    <w:rsid w:val="250D7AF6"/>
    <w:rsid w:val="256272B8"/>
    <w:rsid w:val="25B23C0D"/>
    <w:rsid w:val="278F4242"/>
    <w:rsid w:val="28113F60"/>
    <w:rsid w:val="2B0E4870"/>
    <w:rsid w:val="2B376363"/>
    <w:rsid w:val="2BFB7259"/>
    <w:rsid w:val="2D1E73A5"/>
    <w:rsid w:val="2D672D4A"/>
    <w:rsid w:val="2DF50628"/>
    <w:rsid w:val="2DF57303"/>
    <w:rsid w:val="30517656"/>
    <w:rsid w:val="320A3D3B"/>
    <w:rsid w:val="32546D64"/>
    <w:rsid w:val="333D3C9C"/>
    <w:rsid w:val="34D31369"/>
    <w:rsid w:val="34F62354"/>
    <w:rsid w:val="352C3DB1"/>
    <w:rsid w:val="36BC432E"/>
    <w:rsid w:val="37344B11"/>
    <w:rsid w:val="380B04EE"/>
    <w:rsid w:val="38230A27"/>
    <w:rsid w:val="39B759DC"/>
    <w:rsid w:val="3A66589C"/>
    <w:rsid w:val="3AD40D45"/>
    <w:rsid w:val="3C9B3F0D"/>
    <w:rsid w:val="3D7D1865"/>
    <w:rsid w:val="3F375E56"/>
    <w:rsid w:val="413E52A6"/>
    <w:rsid w:val="424F5E90"/>
    <w:rsid w:val="43014CE6"/>
    <w:rsid w:val="433C187A"/>
    <w:rsid w:val="440D6A7E"/>
    <w:rsid w:val="44167592"/>
    <w:rsid w:val="441743AC"/>
    <w:rsid w:val="44A67AAA"/>
    <w:rsid w:val="44F06DBE"/>
    <w:rsid w:val="49740029"/>
    <w:rsid w:val="4BEB588D"/>
    <w:rsid w:val="4C624043"/>
    <w:rsid w:val="4C6B0623"/>
    <w:rsid w:val="4DBF79B1"/>
    <w:rsid w:val="4E3007EF"/>
    <w:rsid w:val="4E4568C3"/>
    <w:rsid w:val="4E460794"/>
    <w:rsid w:val="4F8E0BB0"/>
    <w:rsid w:val="50046FE1"/>
    <w:rsid w:val="52AB30AC"/>
    <w:rsid w:val="55097B6F"/>
    <w:rsid w:val="5522395C"/>
    <w:rsid w:val="58CD4FF7"/>
    <w:rsid w:val="59B6404E"/>
    <w:rsid w:val="59D96941"/>
    <w:rsid w:val="5CE96177"/>
    <w:rsid w:val="5D2B7514"/>
    <w:rsid w:val="5D2D5AA6"/>
    <w:rsid w:val="5F300020"/>
    <w:rsid w:val="5FA171DD"/>
    <w:rsid w:val="611A38A2"/>
    <w:rsid w:val="614E520A"/>
    <w:rsid w:val="627D7586"/>
    <w:rsid w:val="62E23487"/>
    <w:rsid w:val="637569B7"/>
    <w:rsid w:val="6A7A3035"/>
    <w:rsid w:val="6CDB39FC"/>
    <w:rsid w:val="6D47333A"/>
    <w:rsid w:val="6EFF130B"/>
    <w:rsid w:val="6FD833CC"/>
    <w:rsid w:val="71824EFF"/>
    <w:rsid w:val="71A321F2"/>
    <w:rsid w:val="73405B3E"/>
    <w:rsid w:val="76114D74"/>
    <w:rsid w:val="77E90049"/>
    <w:rsid w:val="77FF2280"/>
    <w:rsid w:val="7B78070C"/>
    <w:rsid w:val="7BC00DE2"/>
    <w:rsid w:val="7BDD99FA"/>
    <w:rsid w:val="7D306D89"/>
    <w:rsid w:val="7DC4311D"/>
    <w:rsid w:val="7E060574"/>
    <w:rsid w:val="7F6D15ED"/>
    <w:rsid w:val="7FE3F4BF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next w:val="7"/>
    <w:qFormat/>
    <w:uiPriority w:val="99"/>
    <w:pPr>
      <w:ind w:left="630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4">
    <w:name w:val="Body Text First Indent 2"/>
    <w:basedOn w:val="6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2780</Words>
  <Characters>2900</Characters>
  <Lines>0</Lines>
  <Paragraphs>0</Paragraphs>
  <TotalTime>16</TotalTime>
  <ScaleCrop>false</ScaleCrop>
  <LinksUpToDate>false</LinksUpToDate>
  <CharactersWithSpaces>2942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2021-12-22T00:13:00Z</cp:lastPrinted>
  <dcterms:modified xsi:type="dcterms:W3CDTF">2022-10-14T07:06:42Z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93F66485BC914FA884BDDB2FFE126202</vt:lpwstr>
  </property>
</Properties>
</file>