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1" w:firstLineChars="100"/>
        <w:jc w:val="center"/>
        <w:textAlignment w:val="auto"/>
        <w:rPr>
          <w:rFonts w:hint="eastAsia" w:asciiTheme="minorHAnsi" w:hAnsiTheme="minorHAnsi" w:eastAsiaTheme="minorEastAsia" w:cstheme="minorBidi"/>
          <w:b/>
          <w:color w:val="auto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color w:val="auto"/>
          <w:kern w:val="0"/>
          <w:sz w:val="36"/>
          <w:szCs w:val="36"/>
          <w:u w:val="none"/>
          <w:lang w:val="en-US" w:eastAsia="zh-CN"/>
        </w:rPr>
        <w:t>安徽相王医疗健康股份有限公司服务器及交换机采购项目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1" w:firstLineChars="100"/>
        <w:jc w:val="center"/>
        <w:textAlignment w:val="auto"/>
        <w:rPr>
          <w:rFonts w:hint="eastAsia" w:ascii="宋体" w:hAnsi="宋体"/>
          <w:b/>
          <w:color w:val="auto"/>
          <w:sz w:val="40"/>
          <w:szCs w:val="40"/>
          <w:lang w:eastAsia="zh-CN"/>
        </w:rPr>
      </w:pPr>
      <w:r>
        <w:rPr>
          <w:rFonts w:hint="eastAsia" w:asciiTheme="minorHAnsi" w:hAnsiTheme="minorHAnsi" w:eastAsiaTheme="minorEastAsia" w:cstheme="minorBidi"/>
          <w:b/>
          <w:color w:val="auto"/>
          <w:kern w:val="0"/>
          <w:sz w:val="36"/>
          <w:szCs w:val="36"/>
          <w:u w:val="none"/>
          <w:lang w:val="en-US" w:eastAsia="zh-CN"/>
        </w:rPr>
        <w:t>比</w:t>
      </w:r>
      <w:r>
        <w:rPr>
          <w:rFonts w:hint="eastAsia" w:asciiTheme="minorHAnsi" w:hAnsiTheme="minorHAnsi" w:eastAsiaTheme="minorEastAsia" w:cstheme="minorBidi"/>
          <w:b/>
          <w:color w:val="auto"/>
          <w:kern w:val="0"/>
          <w:sz w:val="36"/>
          <w:szCs w:val="36"/>
          <w:u w:val="none"/>
          <w:lang w:val="en-US" w:eastAsia="zh-Hans"/>
        </w:rPr>
        <w:t>价函</w:t>
      </w:r>
    </w:p>
    <w:p>
      <w:pPr>
        <w:spacing w:before="240" w:beforeLines="100" w:after="240" w:afterLines="100" w:line="490" w:lineRule="exact"/>
        <w:jc w:val="center"/>
        <w:rPr>
          <w:rFonts w:hint="eastAsia" w:ascii="Calibri" w:hAnsi="Calibri" w:eastAsia="宋体" w:cs="宋体"/>
          <w:b/>
          <w:bCs/>
          <w:color w:val="auto"/>
          <w:kern w:val="2"/>
          <w:sz w:val="24"/>
          <w:szCs w:val="24"/>
          <w:u w:val="none"/>
        </w:rPr>
      </w:pPr>
      <w:r>
        <w:rPr>
          <w:rFonts w:hint="eastAsia" w:ascii="宋体" w:hAnsi="宋体"/>
          <w:b/>
          <w:color w:val="auto"/>
          <w:sz w:val="32"/>
          <w:szCs w:val="32"/>
          <w:lang w:eastAsia="zh-CN"/>
        </w:rPr>
        <w:t>一、报价</w:t>
      </w:r>
      <w:r>
        <w:rPr>
          <w:rFonts w:hint="eastAsia" w:ascii="宋体" w:hAnsi="宋体"/>
          <w:b/>
          <w:color w:val="auto"/>
          <w:sz w:val="32"/>
          <w:szCs w:val="32"/>
        </w:rPr>
        <w:t>须知</w:t>
      </w:r>
    </w:p>
    <w:p>
      <w:pPr>
        <w:widowControl w:val="0"/>
        <w:adjustRightInd w:val="0"/>
        <w:snapToGrid w:val="0"/>
        <w:spacing w:line="400" w:lineRule="exact"/>
        <w:jc w:val="center"/>
        <w:textAlignment w:val="auto"/>
        <w:rPr>
          <w:rFonts w:hint="eastAsia" w:ascii="Calibri" w:hAnsi="Calibri" w:eastAsia="宋体" w:cs="宋体"/>
          <w:b/>
          <w:bCs/>
          <w:color w:val="auto"/>
          <w:kern w:val="2"/>
          <w:sz w:val="28"/>
          <w:szCs w:val="28"/>
          <w:u w:val="none"/>
        </w:rPr>
      </w:pPr>
      <w:r>
        <w:rPr>
          <w:rFonts w:hint="default" w:ascii="Calibri" w:hAnsi="Calibri" w:cs="宋体"/>
          <w:b/>
          <w:bCs/>
          <w:color w:val="auto"/>
          <w:kern w:val="2"/>
          <w:sz w:val="28"/>
          <w:szCs w:val="28"/>
          <w:u w:val="none"/>
        </w:rPr>
        <w:t>供应商</w:t>
      </w:r>
      <w:r>
        <w:rPr>
          <w:rFonts w:hint="eastAsia" w:ascii="Calibri" w:hAnsi="Calibri" w:eastAsia="宋体" w:cs="宋体"/>
          <w:b/>
          <w:bCs/>
          <w:color w:val="auto"/>
          <w:kern w:val="2"/>
          <w:sz w:val="28"/>
          <w:szCs w:val="28"/>
          <w:u w:val="none"/>
        </w:rPr>
        <w:t>须知前附表</w:t>
      </w:r>
    </w:p>
    <w:p>
      <w:pPr>
        <w:widowControl w:val="0"/>
        <w:adjustRightInd w:val="0"/>
        <w:snapToGrid w:val="0"/>
        <w:spacing w:line="400" w:lineRule="exact"/>
        <w:jc w:val="left"/>
        <w:textAlignment w:val="auto"/>
        <w:rPr>
          <w:rFonts w:hint="eastAsia" w:ascii="Calibri" w:hAnsi="Calibri" w:eastAsia="宋体" w:cs="宋体"/>
          <w:b/>
          <w:bCs/>
          <w:color w:val="auto"/>
          <w:kern w:val="2"/>
          <w:sz w:val="28"/>
          <w:szCs w:val="28"/>
          <w:u w:val="none"/>
        </w:rPr>
      </w:pPr>
    </w:p>
    <w:tbl>
      <w:tblPr>
        <w:tblStyle w:val="13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957"/>
        <w:gridCol w:w="6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序号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条款名称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编列内容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项目名称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安徽相王医疗健康股份有限公司服务器及交换机采购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2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采购人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安徽相王医疗健康股份有限公司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采购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范围（内容）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详见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采购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采购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方式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公开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比价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项目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控制价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人民币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142000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元（大写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壹拾肆万贰仟元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资金来源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□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zh-CN"/>
              </w:rPr>
              <w:t xml:space="preserve">财政投资  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sym w:font="Wingdings" w:char="00FE"/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采购人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zh-CN"/>
              </w:rPr>
              <w:t xml:space="preserve">自筹  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□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有效期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日历天（从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截止之日算起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8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方法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最低价中标法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8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资格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具有合法有效的营业执照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  <w:lang w:eastAsia="zh-Hans"/>
              </w:rPr>
              <w:t>；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具有完成本项目相应能力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9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资格审查方式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采用资格后审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10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现场踏勘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自行探勘现场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答疑会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不召开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保证金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人民币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00元，必须由供应商基本账户汇出。比价保证金必须在比价截止时间前足额到达指定账号。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比价结束后，拟成交单位比价保证金由采购人留置，设备全部验收合格后一周内无息退还；其他单位的比价保证金按照采购人财务流程在次月15号后一周内无息退还。比价保证金银行回执比价前交于采购人审核。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投标保证金请汇至：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名称：安徽相王医疗健康股份有限公司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开户行：中国工商银行股份有限公司淮北人民东路支行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账号：9558851305000004078              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在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比价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截止时间届满后撤回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响应文件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及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中</w:t>
            </w: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  <w:t>标后不愿签订合同，其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比价</w:t>
            </w: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  <w:t>保证金不予退还。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联合体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□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zh-CN"/>
              </w:rPr>
              <w:t xml:space="preserve">允许  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sym w:font="Wingdings" w:char="F0FE"/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不允许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文件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纸质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文件正本一份，副本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四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份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。比价</w:t>
            </w:r>
            <w:r>
              <w:rPr>
                <w:rFonts w:hint="eastAsia" w:ascii="Calibri" w:hAnsi="Calibri" w:cs="宋体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eastAsia="zh-CN"/>
              </w:rPr>
              <w:t>文件分为资格标和商务标两部分，分开密封，在封面注明清楚。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文件递交方式及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截止时间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见比价公告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截止时间：202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2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年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月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日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下午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15：00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 xml:space="preserve"> (北京时间)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时间和地点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时间：202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2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年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月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日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下午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15：00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 xml:space="preserve"> (北京时间)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安徽相王医疗健康股份有限公司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七号楼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是否授权评标委员会确定中标人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auto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</w:rPr>
              <w:t>1</w:t>
            </w:r>
            <w:r>
              <w:rPr>
                <w:rFonts w:hint="eastAsia" w:cs="宋体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auto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lang w:eastAsia="zh-CN"/>
              </w:rPr>
              <w:t>合同签订时间与质量保证金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eastAsia="zh-CN"/>
              </w:rPr>
              <w:t>成交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单位应于接到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eastAsia="zh-CN"/>
              </w:rPr>
              <w:t>成交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通知书后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0日内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eastAsia="zh-CN"/>
              </w:rPr>
              <w:t>与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Hans"/>
              </w:rPr>
              <w:t>采购人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签订合同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Hans"/>
              </w:rPr>
              <w:t>与对应廉政合同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eastAsia="zh-CN"/>
              </w:rPr>
              <w:t>，若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无正当理由的视为自动放弃中标资格。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/>
                <w:color w:val="auto"/>
                <w:sz w:val="24"/>
                <w:u w:val="none" w:color="000000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lang w:eastAsia="zh-CN"/>
              </w:rPr>
              <w:t>质量保证金为合同价款的</w:t>
            </w:r>
            <w:r>
              <w:rPr>
                <w:rFonts w:hint="eastAsia" w:cs="宋体"/>
                <w:color w:val="auto"/>
                <w:sz w:val="28"/>
                <w:szCs w:val="28"/>
                <w:lang w:val="en-US" w:eastAsia="zh-CN"/>
              </w:rPr>
              <w:t>5%，在合同价款中预先扣留，质量保证金支付详见合同主要条款。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结果公示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结果在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28"/>
              </w:rPr>
              <w:t>安徽皖北康复医院官网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进行公示；公示内容包括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项目名称、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成交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人名单、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采购人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和电话。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2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成交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服务费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现金缴纳1500元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提出疑问及答疑澄清的截止时间及方式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如对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比价函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提出质疑，请在202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2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年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月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24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日上午1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instrText xml:space="preserve"> HYPERLINK "mailto:时前以不署名的电子邮件形式发送至2295829959@qq.com，采购人于2022年6月" </w:instrTex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fldChar w:fldCharType="separate"/>
            </w:r>
            <w:r>
              <w:rPr>
                <w:rStyle w:val="17"/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</w:rPr>
              <w:t>时前以不署名的电子邮件形式发送至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 w:color="auto"/>
                <w:lang w:val="en-US" w:eastAsia="zh-CN"/>
              </w:rPr>
              <w:t>xwjkzbcg@126.com</w:t>
            </w:r>
            <w:r>
              <w:rPr>
                <w:rStyle w:val="17"/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</w:rPr>
              <w:t>，</w:t>
            </w:r>
            <w:r>
              <w:rPr>
                <w:rStyle w:val="17"/>
                <w:rFonts w:hint="default" w:ascii="Calibri" w:hAnsi="Calibri" w:cs="宋体"/>
                <w:color w:val="auto"/>
                <w:kern w:val="2"/>
                <w:sz w:val="28"/>
                <w:szCs w:val="28"/>
              </w:rPr>
              <w:t>采购人</w:t>
            </w:r>
            <w:r>
              <w:rPr>
                <w:rStyle w:val="17"/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</w:rPr>
              <w:t>于202</w:t>
            </w:r>
            <w:r>
              <w:rPr>
                <w:rStyle w:val="17"/>
                <w:rFonts w:hint="default" w:ascii="Calibri" w:hAnsi="Calibri" w:cs="宋体"/>
                <w:color w:val="auto"/>
                <w:kern w:val="2"/>
                <w:sz w:val="28"/>
                <w:szCs w:val="28"/>
              </w:rPr>
              <w:t>2</w:t>
            </w:r>
            <w:r>
              <w:rPr>
                <w:rStyle w:val="17"/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</w:rPr>
              <w:t>年</w:t>
            </w:r>
            <w:r>
              <w:rPr>
                <w:rStyle w:val="17"/>
                <w:rFonts w:hint="eastAsia" w:ascii="Calibri" w:hAnsi="Calibri" w:cs="宋体"/>
                <w:color w:val="auto"/>
                <w:kern w:val="2"/>
                <w:sz w:val="28"/>
                <w:szCs w:val="28"/>
                <w:lang w:val="en-US" w:eastAsia="zh-CN"/>
              </w:rPr>
              <w:t>10</w:t>
            </w:r>
            <w:r>
              <w:rPr>
                <w:rStyle w:val="17"/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</w:rPr>
              <w:t>月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25</w:t>
            </w:r>
            <w:bookmarkStart w:id="1" w:name="_GoBack"/>
            <w:bookmarkEnd w:id="1"/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日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下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午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 xml:space="preserve"> 时前在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 w:color="auto"/>
                <w:lang w:val="en-US" w:eastAsia="zh-CN"/>
              </w:rPr>
              <w:t>安徽皖北康复医院官网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予以公告答疑，逾期的质疑要求，概不受理，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后不得对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比价函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的内容或条款提出质疑。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240" w:afterLines="100" w:line="240" w:lineRule="auto"/>
        <w:jc w:val="both"/>
        <w:textAlignment w:val="baseline"/>
        <w:outlineLvl w:val="0"/>
        <w:rPr>
          <w:rFonts w:hint="eastAsia" w:ascii="宋体" w:hAnsi="宋体"/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240" w:afterLines="100" w:line="240" w:lineRule="auto"/>
        <w:jc w:val="both"/>
        <w:textAlignment w:val="baseline"/>
        <w:outlineLvl w:val="0"/>
        <w:rPr>
          <w:rFonts w:hint="eastAsia" w:ascii="宋体" w:hAnsi="宋体"/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240" w:afterLines="100" w:line="240" w:lineRule="auto"/>
        <w:jc w:val="center"/>
        <w:textAlignment w:val="baseline"/>
        <w:outlineLvl w:val="0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default" w:ascii="宋体" w:hAnsi="宋体"/>
          <w:b/>
          <w:color w:val="auto"/>
          <w:sz w:val="36"/>
          <w:szCs w:val="36"/>
        </w:rPr>
        <w:t>供应商</w:t>
      </w:r>
      <w:r>
        <w:rPr>
          <w:rFonts w:hint="eastAsia" w:ascii="宋体" w:hAnsi="宋体"/>
          <w:b/>
          <w:color w:val="auto"/>
          <w:sz w:val="36"/>
          <w:szCs w:val="36"/>
        </w:rPr>
        <w:t>须知</w:t>
      </w:r>
    </w:p>
    <w:p>
      <w:pPr>
        <w:snapToGrid w:val="0"/>
        <w:spacing w:line="46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1.项目概况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  <w:t>安徽相王医疗健康股份有限公司为促进公司信息化发展，现需采购采购服务器、交换机一批，具体见采购要求。</w:t>
      </w:r>
    </w:p>
    <w:p>
      <w:pPr>
        <w:numPr>
          <w:ilvl w:val="0"/>
          <w:numId w:val="0"/>
        </w:numPr>
        <w:snapToGrid w:val="0"/>
        <w:spacing w:line="460" w:lineRule="exact"/>
        <w:ind w:firstLine="562" w:firstLineChars="200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u w:val="none" w:color="000000"/>
          <w:lang w:val="en-US" w:eastAsia="zh-CN" w:bidi="ar-SA"/>
        </w:rPr>
        <w:t>2.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u w:val="none" w:color="000000"/>
          <w:lang w:val="en-US" w:eastAsia="zh-Hans" w:bidi="ar-SA"/>
        </w:rPr>
        <w:t>采购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u w:val="none" w:color="000000"/>
          <w:lang w:val="en-US" w:eastAsia="zh-CN" w:bidi="ar-SA"/>
        </w:rPr>
        <w:t>要求</w:t>
      </w:r>
    </w:p>
    <w:tbl>
      <w:tblPr>
        <w:tblStyle w:val="14"/>
        <w:tblW w:w="9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424"/>
        <w:gridCol w:w="957"/>
        <w:gridCol w:w="1773"/>
        <w:gridCol w:w="195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设备名称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响应单价（元）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响应合价（元）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服务器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46" w:leftChars="0" w:hanging="1946" w:hangingChars="695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46" w:leftChars="0" w:hanging="1946" w:hangingChars="695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交换机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46" w:leftChars="0" w:hanging="1946" w:hangingChars="695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46" w:leftChars="0" w:hanging="1946" w:hangingChars="695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46" w:leftChars="0" w:hanging="1946" w:hangingChars="695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46" w:leftChars="0" w:hanging="1946" w:hangingChars="695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napToGrid w:val="0"/>
        <w:spacing w:line="460" w:lineRule="exact"/>
        <w:ind w:firstLine="562" w:firstLineChars="200"/>
        <w:rPr>
          <w:rFonts w:hint="eastAsia" w:ascii="Calibri" w:hAnsi="Calibri" w:cs="宋体"/>
          <w:b/>
          <w:bCs/>
          <w:color w:val="auto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宋体"/>
          <w:b/>
          <w:bCs/>
          <w:color w:val="auto"/>
          <w:kern w:val="2"/>
          <w:sz w:val="28"/>
          <w:szCs w:val="28"/>
          <w:u w:val="none"/>
          <w:lang w:val="en-US" w:eastAsia="zh-CN"/>
        </w:rPr>
        <w:t>一、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服务器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  <w:t>1.2U机架式服务器，非OEM，自主研发；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  <w:t>2.配置2颗Intel 5218N(2.3GHz/16核)CPU处理器；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  <w:t>3.配置≥256GB DDR4 2933MHz内存，可扩展≥24个内存插槽，支持最大内存容量不小于3.0TB；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  <w:t>4.本次配置2*480GB M.2 SSD硬盘，1*3.84TB SATA 3.5寸SSD硬盘，7*8TB  3.5寸SATA硬盘；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  <w:t>5.配置≥1个1G RAID阵列卡，支持RAID0/1/10/5/6/50/60/1E/Simple Volume，支持缓存数据保护；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  <w:t>6.最多支持≥10个PCIe 3.0可用插槽；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  <w:t>7.提供≥1个网卡专用插槽（不占用PCIE扩展槽），可选配千兆或万兆网卡，本次配置2个万兆光口（含光模块），4*GE电口；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  <w:t>8.可支持3块双宽GPU卡或6块单宽GPU卡；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  <w:t>9.配置2个≥800W热插拔冗余电源，支持96%能效比的钛金级电源选件；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  <w:t>10.支持最高5-50°C标准工作温度，配置机架式导轨；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  <w:t>11.★支持机箱入侵侦测功能 ，在外部打开机箱时提供报警功能，提供官网截图证明；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  <w:t>12.配置≥1Gb独立的远程管理控制端口，配置虚拟KVM功能, 可实现与操作系统无关的远程对服务器的完全控制，包括远程的开机、关机、重启、更新Firmware、虚拟光驱、虚拟文件夹等操作，提供服务器健康日记、服务器控制台录屏/回放功能，能够提供电源监控，支持3D图形化的机箱内部温度拓扑图显示，可支持动态功率封顶；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  <w:t>13.★产品厂商具备信息安全应急处理服务资质一级服务资质要求，通过ISO 22301业务连续性管理体系认证、ISO 14064温室气体核查，提供以上证书复印件证明；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  <w:t>14.拟派本项目的项目负责人具有计算机技术与软件专业技术资格（水平）网络工程师或网络设备生产厂家认证工程师证书。</w:t>
      </w:r>
    </w:p>
    <w:p>
      <w:pPr>
        <w:numPr>
          <w:ilvl w:val="0"/>
          <w:numId w:val="0"/>
        </w:numPr>
        <w:snapToGrid w:val="0"/>
        <w:spacing w:line="460" w:lineRule="exact"/>
        <w:ind w:firstLine="562" w:firstLineChars="200"/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宋体"/>
          <w:b/>
          <w:bCs/>
          <w:color w:val="auto"/>
          <w:kern w:val="2"/>
          <w:sz w:val="28"/>
          <w:szCs w:val="28"/>
          <w:u w:val="none"/>
          <w:lang w:val="en-US" w:eastAsia="zh-CN"/>
        </w:rPr>
        <w:t>15.提供针对本项目的三年原厂售后服务承诺函原件。</w:t>
      </w:r>
      <w:r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snapToGrid w:val="0"/>
        <w:spacing w:line="460" w:lineRule="exact"/>
        <w:ind w:firstLine="562" w:firstLineChars="200"/>
        <w:rPr>
          <w:rFonts w:hint="eastAsia"/>
          <w:b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Calibri" w:hAnsi="Calibri" w:cs="宋体"/>
          <w:b/>
          <w:bCs/>
          <w:color w:val="auto"/>
          <w:kern w:val="2"/>
          <w:sz w:val="28"/>
          <w:szCs w:val="28"/>
          <w:u w:val="none" w:color="000000"/>
          <w:lang w:val="en-US" w:eastAsia="zh-CN" w:bidi="ar-SA"/>
        </w:rPr>
        <w:t>二、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交换机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  <w:t>1.设备固化千兆电口数≥24个，SFP+万兆光口≥4个，交换容量≥3.3Tbps，转发性能≥126Mpps;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  <w:t>2.★设备支持802.1X，MAC认证，端口安全，支持LACP协议，支持4K个VLAN，支持最大16K MAC地址及黑洞MAC等特性，提供产品官网截图证明；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  <w:t>3.支持完善的堆叠分裂检测机制，堆叠分裂后能自动完成MAC和IP地址的重配置，无需手动干预；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  <w:t>4.支持GE端口聚合、10GE端口聚合、静态聚合、动态聚合、跨设备聚合；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  <w:t>5.★具有流量控制和安全审计功能，提供第三方权威测试报告证明；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  <w:t>6.支持将多台物理设备互相连接起来，使其虚拟为一台逻辑设备；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  <w:t>7.★具有用户访问控制和基于IPv6 的访问控制功能，提供第三方权威测试报告证明；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  <w:t>8.支持IPv4/IPv6静态路由，支持RIP/RIPng，OSPFV1/V2/V3；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  <w:t>9.★为保证产品和服务的连续性，设备厂商须通过ISO 22301业务连续性管理体系认证，为符合国家温室气体排放和清除的量化报告的规范，设备厂商须通过ISO 14064温室气体核查，提供以上证书复印件证明；</w:t>
      </w:r>
    </w:p>
    <w:p>
      <w:pPr>
        <w:numPr>
          <w:ilvl w:val="0"/>
          <w:numId w:val="0"/>
        </w:numPr>
        <w:snapToGrid w:val="0"/>
        <w:spacing w:line="460" w:lineRule="exact"/>
        <w:ind w:firstLine="562" w:firstLineChars="200"/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宋体"/>
          <w:b/>
          <w:bCs/>
          <w:color w:val="auto"/>
          <w:kern w:val="2"/>
          <w:sz w:val="28"/>
          <w:szCs w:val="28"/>
          <w:u w:val="none"/>
          <w:lang w:val="en-US" w:eastAsia="zh-CN"/>
        </w:rPr>
        <w:t>10.提供针对本项目的三年原厂售后服务承诺函原件。</w:t>
      </w:r>
    </w:p>
    <w:p>
      <w:pPr>
        <w:numPr>
          <w:ilvl w:val="0"/>
          <w:numId w:val="0"/>
        </w:numPr>
        <w:snapToGrid w:val="0"/>
        <w:spacing w:line="460" w:lineRule="exact"/>
        <w:ind w:firstLine="562" w:firstLineChars="200"/>
        <w:rPr>
          <w:rFonts w:hint="eastAsia" w:ascii="Calibri" w:hAnsi="Calibri" w:eastAsia="宋体" w:cs="宋体"/>
          <w:b/>
          <w:bCs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/>
          <w:bCs/>
          <w:color w:val="auto"/>
          <w:kern w:val="2"/>
          <w:sz w:val="28"/>
          <w:szCs w:val="28"/>
          <w:u w:val="none" w:color="000000"/>
          <w:lang w:val="en-US" w:eastAsia="zh-CN" w:bidi="ar-SA"/>
        </w:rPr>
        <w:t>3.报价要求</w:t>
      </w:r>
    </w:p>
    <w:p>
      <w:pPr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报价采用固定价格方式，所有项目的报价均包含了</w:t>
      </w:r>
      <w:r>
        <w:rPr>
          <w:rFonts w:hint="default" w:ascii="宋体" w:hAnsi="宋体" w:cs="宋体"/>
          <w:color w:val="auto"/>
          <w:sz w:val="28"/>
          <w:szCs w:val="28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为完成该项内容的全部投入（包含税、费）和收益，即</w:t>
      </w:r>
      <w:r>
        <w:rPr>
          <w:rFonts w:hint="default" w:ascii="宋体" w:hAnsi="宋体" w:cs="宋体"/>
          <w:color w:val="auto"/>
          <w:sz w:val="28"/>
          <w:szCs w:val="28"/>
        </w:rPr>
        <w:t>采购人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应该支付的购买价格。</w:t>
      </w:r>
    </w:p>
    <w:p>
      <w:pPr>
        <w:spacing w:line="460" w:lineRule="exact"/>
        <w:ind w:firstLine="562" w:firstLineChars="200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4.报价函内容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4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  <w:t>.1加盖供应商公章的响应报价</w:t>
      </w: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，供应商自行密封。</w:t>
      </w:r>
    </w:p>
    <w:p>
      <w:pPr>
        <w:pStyle w:val="2"/>
        <w:ind w:left="0" w:leftChars="0" w:firstLine="560" w:firstLineChars="0"/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  <w:t>.2供应商营业执照</w:t>
      </w: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，与联系方式</w:t>
      </w:r>
    </w:p>
    <w:p>
      <w:pPr>
        <w:pStyle w:val="2"/>
        <w:ind w:left="0" w:leftChars="0" w:firstLine="560" w:firstLineChars="0"/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4.3服务器与交换机样品彩色图片。</w:t>
      </w:r>
    </w:p>
    <w:p>
      <w:pPr>
        <w:pStyle w:val="2"/>
        <w:ind w:left="0" w:leftChars="0" w:firstLine="560" w:firstLineChars="0"/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4.4 供应商认为需要提供的其他材料。</w:t>
      </w:r>
    </w:p>
    <w:p>
      <w:pPr>
        <w:pStyle w:val="2"/>
        <w:ind w:left="0" w:leftChars="0" w:firstLine="560" w:firstLineChars="0"/>
        <w:rPr>
          <w:rFonts w:hint="default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u w:val="none" w:color="000000"/>
          <w:lang w:val="en-US" w:eastAsia="zh-CN" w:bidi="ar-SA"/>
        </w:rPr>
        <w:t>所有材料请列好目录，以便评审过程中查找。</w:t>
      </w:r>
    </w:p>
    <w:p>
      <w:pPr>
        <w:spacing w:line="46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.比价规则</w:t>
      </w:r>
    </w:p>
    <w:p>
      <w:pPr>
        <w:numPr>
          <w:ilvl w:val="0"/>
          <w:numId w:val="0"/>
        </w:numPr>
        <w:spacing w:line="460" w:lineRule="exact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8.1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本次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比价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采用最低价中标法，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实际参与（出价）的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数量少于3家，采用二次报价，根据第二次报价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后的价格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确定成交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候选人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；如果实际参与的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不足两家，采取洽商方式议定。</w:t>
      </w:r>
    </w:p>
    <w:p>
      <w:pPr>
        <w:numPr>
          <w:ilvl w:val="0"/>
          <w:numId w:val="0"/>
        </w:numPr>
        <w:spacing w:line="460" w:lineRule="exact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8.2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参与报价的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，按时到达现场，在规定时间内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根据报价金额从高到低进行排序，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在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相同的情况下，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抽签确定排序。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ind w:leftChars="-695"/>
        <w:jc w:val="left"/>
        <w:textAlignment w:val="auto"/>
        <w:rPr>
          <w:rFonts w:hint="default" w:ascii="华文仿宋" w:hAnsi="华文仿宋" w:cs="宋体"/>
          <w:b/>
          <w:bCs/>
          <w:color w:val="auto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  <w:t xml:space="preserve"> </w:t>
      </w:r>
    </w:p>
    <w:p>
      <w:pPr>
        <w:spacing w:before="240" w:beforeLines="100" w:after="240" w:afterLines="100" w:line="490" w:lineRule="exact"/>
        <w:jc w:val="center"/>
        <w:rPr>
          <w:rFonts w:hint="eastAsia" w:ascii="宋体" w:hAnsi="宋体" w:eastAsia="宋体" w:cs="Times New Roman"/>
          <w:b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b/>
          <w:color w:val="auto"/>
          <w:sz w:val="36"/>
          <w:szCs w:val="36"/>
          <w:lang w:eastAsia="zh-CN"/>
        </w:rPr>
        <w:t xml:space="preserve"> 三、合同主要条款</w:t>
      </w:r>
    </w:p>
    <w:p>
      <w:pPr>
        <w:pStyle w:val="18"/>
        <w:numPr>
          <w:ilvl w:val="0"/>
          <w:numId w:val="0"/>
        </w:num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一、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价格：</w:t>
      </w:r>
    </w:p>
    <w:p>
      <w:pPr>
        <w:pStyle w:val="18"/>
        <w:numPr>
          <w:ilvl w:val="0"/>
          <w:numId w:val="0"/>
        </w:num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（一）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价格执行乙方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比价</w:t>
      </w:r>
      <w:r>
        <w:rPr>
          <w:rFonts w:hint="eastAsia" w:ascii="华文仿宋" w:hAnsi="华文仿宋" w:cs="宋体"/>
          <w:color w:val="auto"/>
          <w:sz w:val="28"/>
          <w:szCs w:val="28"/>
        </w:rPr>
        <w:t>价格。</w:t>
      </w:r>
    </w:p>
    <w:p>
      <w:pPr>
        <w:pStyle w:val="18"/>
        <w:numPr>
          <w:ilvl w:val="0"/>
          <w:numId w:val="0"/>
        </w:num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（二）价格包括</w:t>
      </w:r>
    </w:p>
    <w:p>
      <w:pPr>
        <w:pStyle w:val="18"/>
        <w:numPr>
          <w:ilvl w:val="0"/>
          <w:numId w:val="0"/>
        </w:num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1、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生产成本、搬运、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</w:rPr>
        <w:t>安装、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lang w:eastAsia="zh-CN"/>
        </w:rPr>
        <w:t>耗材、</w:t>
      </w:r>
      <w:r>
        <w:rPr>
          <w:rFonts w:hint="eastAsia" w:ascii="华文仿宋" w:hAnsi="华文仿宋" w:cs="宋体"/>
          <w:color w:val="auto"/>
          <w:sz w:val="28"/>
          <w:szCs w:val="28"/>
        </w:rPr>
        <w:t>调试、验收等所有投入和收益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。</w:t>
      </w:r>
    </w:p>
    <w:p>
      <w:pPr>
        <w:pStyle w:val="18"/>
        <w:numPr>
          <w:ilvl w:val="0"/>
          <w:numId w:val="0"/>
        </w:num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华文仿宋" w:hAnsi="华文仿宋" w:cs="宋体"/>
          <w:color w:val="auto"/>
          <w:sz w:val="28"/>
          <w:szCs w:val="28"/>
        </w:rPr>
        <w:t>、质保期内维护和损毁件的更换费用。</w:t>
      </w:r>
    </w:p>
    <w:p>
      <w:pPr>
        <w:pStyle w:val="18"/>
        <w:numPr>
          <w:ilvl w:val="0"/>
          <w:numId w:val="0"/>
        </w:num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华文仿宋" w:hAnsi="华文仿宋" w:cs="宋体"/>
          <w:color w:val="auto"/>
          <w:sz w:val="28"/>
          <w:szCs w:val="28"/>
        </w:rPr>
        <w:t>、税费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及满足服务要求的相关</w:t>
      </w:r>
      <w:r>
        <w:rPr>
          <w:rFonts w:hint="eastAsia" w:ascii="华文仿宋" w:hAnsi="华文仿宋" w:cs="宋体"/>
          <w:color w:val="auto"/>
          <w:sz w:val="28"/>
          <w:szCs w:val="28"/>
        </w:rPr>
        <w:t>费用。</w:t>
      </w:r>
    </w:p>
    <w:p>
      <w:pPr>
        <w:pStyle w:val="18"/>
        <w:snapToGrid w:val="0"/>
        <w:spacing w:line="360" w:lineRule="auto"/>
        <w:ind w:left="0" w:leftChars="0" w:firstLine="0" w:firstLineChars="0"/>
        <w:jc w:val="left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二、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的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安装与</w:t>
      </w:r>
      <w:r>
        <w:rPr>
          <w:rFonts w:hint="eastAsia" w:ascii="华文仿宋" w:hAnsi="华文仿宋" w:cs="宋体"/>
          <w:color w:val="auto"/>
          <w:sz w:val="28"/>
          <w:szCs w:val="28"/>
        </w:rPr>
        <w:t>验收</w:t>
      </w:r>
    </w:p>
    <w:p>
      <w:pPr>
        <w:pStyle w:val="18"/>
        <w:snapToGrid w:val="0"/>
        <w:spacing w:line="360" w:lineRule="auto"/>
        <w:ind w:left="0" w:leftChars="0" w:firstLine="0" w:firstLineChars="0"/>
        <w:jc w:val="left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合</w:t>
      </w: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</w:rPr>
        <w:t>同</w:t>
      </w: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  <w:highlight w:val="none"/>
        </w:rPr>
        <w:t>签订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yellow"/>
        </w:rPr>
        <w:t>后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yellow"/>
          <w:lang w:val="en-US" w:eastAsia="zh-CN"/>
        </w:rPr>
        <w:t xml:space="preserve">  个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  <w:lang w:val="en-US" w:eastAsia="zh-CN"/>
        </w:rPr>
        <w:t>自然日</w:t>
      </w: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内安装完毕，</w:t>
      </w: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安装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试运行一个月</w:t>
      </w:r>
      <w:r>
        <w:rPr>
          <w:rFonts w:hint="eastAsia" w:ascii="华文仿宋" w:hAnsi="华文仿宋" w:cs="宋体"/>
          <w:color w:val="auto"/>
          <w:sz w:val="28"/>
          <w:szCs w:val="28"/>
        </w:rPr>
        <w:t>后各项性能指标均能达到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比价函</w:t>
      </w:r>
      <w:r>
        <w:rPr>
          <w:rFonts w:hint="eastAsia" w:ascii="华文仿宋" w:hAnsi="华文仿宋" w:cs="宋体"/>
          <w:color w:val="auto"/>
          <w:sz w:val="28"/>
          <w:szCs w:val="28"/>
        </w:rPr>
        <w:t>的要求，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且与甲方</w:t>
      </w:r>
      <w:r>
        <w:rPr>
          <w:rFonts w:hint="eastAsia" w:ascii="华文仿宋" w:hAnsi="华文仿宋" w:cs="宋体"/>
          <w:color w:val="auto"/>
          <w:sz w:val="28"/>
          <w:szCs w:val="28"/>
        </w:rPr>
        <w:t>现有超融合平台软件平台及硬件相兼容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后，</w:t>
      </w:r>
      <w:r>
        <w:rPr>
          <w:rFonts w:hint="eastAsia" w:ascii="华文仿宋" w:hAnsi="华文仿宋" w:cs="宋体"/>
          <w:color w:val="auto"/>
          <w:sz w:val="28"/>
          <w:szCs w:val="28"/>
        </w:rPr>
        <w:t>甲方采购主办部门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、使用部门</w:t>
      </w:r>
      <w:r>
        <w:rPr>
          <w:rFonts w:hint="eastAsia" w:ascii="华文仿宋" w:hAnsi="华文仿宋" w:cs="宋体"/>
          <w:color w:val="auto"/>
          <w:sz w:val="28"/>
          <w:szCs w:val="28"/>
        </w:rPr>
        <w:t>、财务人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员等</w:t>
      </w:r>
      <w:r>
        <w:rPr>
          <w:rFonts w:hint="eastAsia" w:ascii="华文仿宋" w:hAnsi="华文仿宋" w:cs="宋体"/>
          <w:color w:val="auto"/>
          <w:sz w:val="28"/>
          <w:szCs w:val="28"/>
        </w:rPr>
        <w:t>签署验收文件，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被视为验收通过。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三、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款的支付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hint="eastAsia" w:ascii="华文仿宋" w:hAnsi="华文仿宋" w:cs="宋体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（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一</w:t>
      </w:r>
      <w:r>
        <w:rPr>
          <w:rFonts w:hint="eastAsia" w:ascii="华文仿宋" w:hAnsi="华文仿宋" w:cs="宋体"/>
          <w:color w:val="auto"/>
          <w:sz w:val="28"/>
          <w:szCs w:val="28"/>
        </w:rPr>
        <w:t>）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物品经</w:t>
      </w:r>
      <w:r>
        <w:rPr>
          <w:rFonts w:hint="eastAsia" w:ascii="华文仿宋" w:hAnsi="华文仿宋" w:cs="宋体"/>
          <w:color w:val="auto"/>
          <w:sz w:val="28"/>
          <w:szCs w:val="28"/>
        </w:rPr>
        <w:t>验收合格后支付至合同价款的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95</w:t>
      </w:r>
      <w:r>
        <w:rPr>
          <w:rFonts w:hint="eastAsia" w:ascii="华文仿宋" w:hAnsi="华文仿宋" w:cs="宋体"/>
          <w:color w:val="auto"/>
          <w:sz w:val="28"/>
          <w:szCs w:val="28"/>
        </w:rPr>
        <w:t>%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，余款作为质量保证金。</w:t>
      </w:r>
    </w:p>
    <w:p>
      <w:pPr>
        <w:pStyle w:val="18"/>
        <w:numPr>
          <w:ilvl w:val="0"/>
          <w:numId w:val="0"/>
        </w:numPr>
        <w:snapToGrid w:val="0"/>
        <w:spacing w:line="360" w:lineRule="auto"/>
        <w:jc w:val="left"/>
        <w:rPr>
          <w:rFonts w:ascii="华文仿宋" w:hAnsi="华文仿宋" w:cs="宋体"/>
          <w:b/>
          <w:bCs/>
          <w:color w:val="auto"/>
          <w:sz w:val="28"/>
          <w:szCs w:val="28"/>
        </w:rPr>
      </w:pPr>
      <w:r>
        <w:rPr>
          <w:rFonts w:hint="eastAsia" w:ascii="华文仿宋" w:hAnsi="华文仿宋" w:cs="宋体"/>
          <w:b/>
          <w:bCs/>
          <w:color w:val="auto"/>
          <w:sz w:val="28"/>
          <w:szCs w:val="28"/>
        </w:rPr>
        <w:t>（三）乙方提供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lang w:eastAsia="zh-CN"/>
        </w:rPr>
        <w:t>普通增值税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</w:rPr>
        <w:t>发票。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hint="eastAsia" w:ascii="华文仿宋" w:hAnsi="华文仿宋" w:eastAsia="宋体" w:cs="宋体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四、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auto"/>
          <w:sz w:val="28"/>
          <w:szCs w:val="28"/>
        </w:rPr>
        <w:t>保证金的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支付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hint="eastAsia" w:cs="宋体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auto"/>
          <w:sz w:val="28"/>
          <w:szCs w:val="28"/>
        </w:rPr>
        <w:t>保证金</w:t>
      </w:r>
      <w:r>
        <w:rPr>
          <w:rFonts w:hint="eastAsia" w:cs="宋体"/>
          <w:color w:val="auto"/>
          <w:sz w:val="28"/>
          <w:szCs w:val="28"/>
        </w:rPr>
        <w:t>在</w:t>
      </w:r>
      <w:r>
        <w:rPr>
          <w:rFonts w:hint="eastAsia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cs="宋体"/>
          <w:color w:val="auto"/>
          <w:sz w:val="28"/>
          <w:szCs w:val="28"/>
          <w:lang w:eastAsia="zh-CN"/>
        </w:rPr>
        <w:t>质保期</w:t>
      </w:r>
      <w:r>
        <w:rPr>
          <w:rFonts w:hint="eastAsia" w:cs="宋体"/>
          <w:color w:val="auto"/>
          <w:sz w:val="28"/>
          <w:szCs w:val="28"/>
        </w:rPr>
        <w:t>满后无遗留问题时</w:t>
      </w:r>
      <w:r>
        <w:rPr>
          <w:rFonts w:hint="eastAsia" w:cs="宋体"/>
          <w:color w:val="auto"/>
          <w:sz w:val="28"/>
          <w:szCs w:val="28"/>
          <w:lang w:eastAsia="zh-CN"/>
        </w:rPr>
        <w:t>一个月内</w:t>
      </w:r>
      <w:r>
        <w:rPr>
          <w:rFonts w:hint="eastAsia" w:cs="宋体"/>
          <w:color w:val="auto"/>
          <w:sz w:val="28"/>
          <w:szCs w:val="28"/>
        </w:rPr>
        <w:t>无息</w:t>
      </w:r>
      <w:r>
        <w:rPr>
          <w:rFonts w:hint="eastAsia" w:cs="宋体"/>
          <w:color w:val="auto"/>
          <w:sz w:val="28"/>
          <w:szCs w:val="28"/>
          <w:lang w:eastAsia="zh-CN"/>
        </w:rPr>
        <w:t>支付。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hint="eastAsia" w:ascii="华文仿宋" w:hAnsi="华文仿宋" w:eastAsia="宋体" w:cs="宋体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五、质保期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与售后服务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hint="default" w:ascii="华文仿宋" w:hAnsi="华文仿宋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cs="宋体"/>
          <w:b/>
          <w:bCs/>
          <w:color w:val="auto"/>
          <w:sz w:val="28"/>
          <w:szCs w:val="28"/>
          <w:lang w:eastAsia="zh-CN"/>
        </w:rPr>
        <w:t>设备整机质保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lang w:eastAsia="zh-CN"/>
        </w:rPr>
        <w:t>年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华文仿宋" w:hAnsi="华文仿宋" w:eastAsia="宋体" w:cs="宋体"/>
          <w:color w:val="auto"/>
          <w:sz w:val="28"/>
          <w:szCs w:val="28"/>
        </w:rPr>
        <w:t>质保期内出现非人为原因的故障或者配件损坏，由乙方免费更换、修理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。维修人员需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24小时内电话响应，72小时恢复使用功能。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六</w:t>
      </w:r>
      <w:r>
        <w:rPr>
          <w:rFonts w:hint="eastAsia" w:ascii="华文仿宋" w:hAnsi="华文仿宋" w:cs="宋体"/>
          <w:color w:val="auto"/>
          <w:sz w:val="28"/>
          <w:szCs w:val="28"/>
        </w:rPr>
        <w:t>、违约责任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（一）乙方须按期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完成安装</w:t>
      </w:r>
      <w:r>
        <w:rPr>
          <w:rFonts w:hint="eastAsia" w:ascii="华文仿宋" w:hAnsi="华文仿宋" w:cs="宋体"/>
          <w:color w:val="auto"/>
          <w:sz w:val="28"/>
          <w:szCs w:val="28"/>
        </w:rPr>
        <w:t>。每拖延一天，交纳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200元</w:t>
      </w:r>
      <w:r>
        <w:rPr>
          <w:rFonts w:hint="eastAsia" w:ascii="华文仿宋" w:hAnsi="华文仿宋" w:cs="宋体"/>
          <w:color w:val="auto"/>
          <w:sz w:val="28"/>
          <w:szCs w:val="28"/>
        </w:rPr>
        <w:t>违约金，从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auto"/>
          <w:sz w:val="28"/>
          <w:szCs w:val="28"/>
        </w:rPr>
        <w:t>保证金中扣除。当违约金达到合同价款的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cs="宋体"/>
          <w:color w:val="auto"/>
          <w:sz w:val="28"/>
          <w:szCs w:val="28"/>
        </w:rPr>
        <w:t>％时，甲方有权终止合同，另选供货单位。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（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二</w:t>
      </w:r>
      <w:r>
        <w:rPr>
          <w:rFonts w:hint="eastAsia" w:ascii="华文仿宋" w:hAnsi="华文仿宋" w:cs="宋体"/>
          <w:color w:val="auto"/>
          <w:sz w:val="28"/>
          <w:szCs w:val="28"/>
        </w:rPr>
        <w:t>）乙方不能及时提供服务的，每逾期一次，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质保</w:t>
      </w:r>
      <w:r>
        <w:rPr>
          <w:rFonts w:hint="eastAsia" w:ascii="华文仿宋" w:hAnsi="华文仿宋" w:cs="宋体"/>
          <w:color w:val="auto"/>
          <w:sz w:val="28"/>
          <w:szCs w:val="28"/>
        </w:rPr>
        <w:t>期限延长30天。因乙方不能及时提供服务，甲方有权安排第三方进行处理，费用从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auto"/>
          <w:sz w:val="28"/>
          <w:szCs w:val="28"/>
        </w:rPr>
        <w:t>保证金中扣除，大于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auto"/>
          <w:sz w:val="28"/>
          <w:szCs w:val="28"/>
        </w:rPr>
        <w:t>保证金的甲方有权向乙方追偿。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（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三</w:t>
      </w:r>
      <w:r>
        <w:rPr>
          <w:rFonts w:hint="eastAsia" w:ascii="华文仿宋" w:hAnsi="华文仿宋" w:cs="宋体"/>
          <w:color w:val="auto"/>
          <w:sz w:val="28"/>
          <w:szCs w:val="28"/>
        </w:rPr>
        <w:t>）乙方提供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为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非全新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或者</w:t>
      </w:r>
      <w:r>
        <w:rPr>
          <w:rFonts w:hint="eastAsia" w:ascii="华文仿宋" w:hAnsi="华文仿宋" w:cs="宋体"/>
          <w:color w:val="auto"/>
          <w:sz w:val="28"/>
          <w:szCs w:val="28"/>
        </w:rPr>
        <w:t>与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比价</w:t>
      </w:r>
      <w:r>
        <w:rPr>
          <w:rFonts w:hint="eastAsia" w:ascii="华文仿宋" w:hAnsi="华文仿宋" w:cs="宋体"/>
          <w:color w:val="auto"/>
          <w:sz w:val="28"/>
          <w:szCs w:val="28"/>
        </w:rPr>
        <w:t>文件不符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的</w:t>
      </w:r>
      <w:r>
        <w:rPr>
          <w:rFonts w:hint="eastAsia" w:ascii="华文仿宋" w:hAnsi="华文仿宋" w:cs="宋体"/>
          <w:color w:val="auto"/>
          <w:sz w:val="28"/>
          <w:szCs w:val="28"/>
        </w:rPr>
        <w:t>，甲方拒付所有款项，履约保证金不予退还。因非全新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或者与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比价</w:t>
      </w:r>
      <w:r>
        <w:rPr>
          <w:rFonts w:hint="eastAsia" w:ascii="华文仿宋" w:hAnsi="华文仿宋" w:cs="宋体"/>
          <w:color w:val="auto"/>
          <w:sz w:val="28"/>
          <w:szCs w:val="28"/>
        </w:rPr>
        <w:t>文件不符给甲方造成损失由乙方承担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，乙方</w:t>
      </w:r>
      <w:r>
        <w:rPr>
          <w:rFonts w:hint="eastAsia" w:ascii="华文仿宋" w:hAnsi="华文仿宋" w:cs="宋体"/>
          <w:color w:val="auto"/>
          <w:sz w:val="28"/>
          <w:szCs w:val="28"/>
        </w:rPr>
        <w:t>还应赔偿包括但不限于诉讼费、律师费、差旅费等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费用</w:t>
      </w:r>
      <w:r>
        <w:rPr>
          <w:rFonts w:hint="eastAsia" w:ascii="华文仿宋" w:hAnsi="华文仿宋" w:cs="宋体"/>
          <w:color w:val="auto"/>
          <w:sz w:val="28"/>
          <w:szCs w:val="28"/>
        </w:rPr>
        <w:t>。</w:t>
      </w:r>
    </w:p>
    <w:p>
      <w:pPr>
        <w:snapToGrid w:val="0"/>
        <w:spacing w:line="360" w:lineRule="auto"/>
        <w:jc w:val="left"/>
        <w:rPr>
          <w:rFonts w:ascii="华文仿宋" w:eastAsia="华文仿宋" w:cs="宋体"/>
          <w:color w:val="auto"/>
          <w:sz w:val="30"/>
          <w:szCs w:val="30"/>
        </w:rPr>
      </w:pPr>
      <w:r>
        <w:rPr>
          <w:rFonts w:hint="eastAsia" w:ascii="华文仿宋" w:hAnsi="华文仿宋" w:cs="宋体"/>
          <w:color w:val="auto"/>
          <w:sz w:val="30"/>
          <w:szCs w:val="30"/>
          <w:lang w:val="en-US" w:eastAsia="zh-Hans"/>
        </w:rPr>
        <w:t>七</w:t>
      </w:r>
      <w:r>
        <w:rPr>
          <w:rFonts w:hint="eastAsia" w:ascii="华文仿宋" w:hAnsi="华文仿宋" w:cs="宋体"/>
          <w:color w:val="auto"/>
          <w:sz w:val="30"/>
          <w:szCs w:val="30"/>
        </w:rPr>
        <w:t>、解决纠纷方式</w:t>
      </w:r>
    </w:p>
    <w:p>
      <w:pPr>
        <w:spacing w:line="460" w:lineRule="exact"/>
        <w:jc w:val="both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（一）</w:t>
      </w:r>
      <w:r>
        <w:rPr>
          <w:rFonts w:hint="eastAsia" w:ascii="华文仿宋" w:hAnsi="华文仿宋" w:cs="宋体"/>
          <w:color w:val="auto"/>
          <w:sz w:val="28"/>
          <w:szCs w:val="28"/>
        </w:rPr>
        <w:t>由双方当事人协商解决；</w:t>
      </w:r>
    </w:p>
    <w:p>
      <w:pPr>
        <w:spacing w:line="460" w:lineRule="exact"/>
        <w:jc w:val="both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（二）</w:t>
      </w:r>
      <w:r>
        <w:rPr>
          <w:rFonts w:hint="eastAsia" w:ascii="华文仿宋" w:hAnsi="华文仿宋" w:cs="宋体"/>
          <w:color w:val="auto"/>
          <w:sz w:val="28"/>
          <w:szCs w:val="28"/>
        </w:rPr>
        <w:t>也可由当地市场监督管理部门调解；</w:t>
      </w:r>
    </w:p>
    <w:p>
      <w:pPr>
        <w:spacing w:line="460" w:lineRule="exact"/>
        <w:jc w:val="both"/>
        <w:rPr>
          <w:rFonts w:hint="eastAsia" w:ascii="黑体" w:hAnsi="宋体" w:eastAsia="黑体"/>
          <w:color w:val="auto"/>
          <w:sz w:val="30"/>
          <w:szCs w:val="30"/>
        </w:rPr>
      </w:pP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（三）</w:t>
      </w:r>
      <w:r>
        <w:rPr>
          <w:rFonts w:hint="eastAsia" w:ascii="华文仿宋" w:hAnsi="华文仿宋" w:cs="宋体"/>
          <w:color w:val="auto"/>
          <w:sz w:val="28"/>
          <w:szCs w:val="28"/>
        </w:rPr>
        <w:t>协商或调解不成的，依法向合同签订地人民法院起诉。</w:t>
      </w:r>
    </w:p>
    <w:p>
      <w:pPr>
        <w:spacing w:line="46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</w:p>
    <w:p>
      <w:pPr>
        <w:rPr>
          <w:color w:val="auto"/>
        </w:rPr>
      </w:pPr>
      <w:bookmarkStart w:id="0" w:name="_Hlt509738950"/>
      <w:bookmarkEnd w:id="0"/>
    </w:p>
    <w:sectPr>
      <w:footerReference r:id="rId7" w:type="first"/>
      <w:headerReference r:id="rId5" w:type="default"/>
      <w:footerReference r:id="rId6" w:type="default"/>
      <w:pgSz w:w="11907" w:h="16840"/>
      <w:pgMar w:top="720" w:right="720" w:bottom="720" w:left="940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0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6"/>
        <w:rFonts w:hint="eastAsia"/>
      </w:rPr>
    </w:pPr>
  </w:p>
  <w:p>
    <w:pPr>
      <w:pStyle w:val="10"/>
      <w:rPr>
        <w:rFonts w:hint="eastAsia"/>
        <w:szCs w:val="21"/>
      </w:rPr>
    </w:pPr>
  </w:p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7D08C5"/>
    <w:multiLevelType w:val="singleLevel"/>
    <w:tmpl w:val="FC7D08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MzU0YWFhOGIzMGNiNjE4YjJjZjgyZGFjNGRlNDMifQ=="/>
  </w:docVars>
  <w:rsids>
    <w:rsidRoot w:val="5D2B7514"/>
    <w:rsid w:val="0026390D"/>
    <w:rsid w:val="01557749"/>
    <w:rsid w:val="01BE5028"/>
    <w:rsid w:val="032C4086"/>
    <w:rsid w:val="034C4289"/>
    <w:rsid w:val="03CB018A"/>
    <w:rsid w:val="05EA1E28"/>
    <w:rsid w:val="06304C93"/>
    <w:rsid w:val="074107DA"/>
    <w:rsid w:val="075D629F"/>
    <w:rsid w:val="09F549CB"/>
    <w:rsid w:val="0A2C0351"/>
    <w:rsid w:val="0AFB6482"/>
    <w:rsid w:val="0B8B2BE2"/>
    <w:rsid w:val="0C0B5246"/>
    <w:rsid w:val="0EE816F7"/>
    <w:rsid w:val="11522A6B"/>
    <w:rsid w:val="129C68AE"/>
    <w:rsid w:val="134E060F"/>
    <w:rsid w:val="140479A2"/>
    <w:rsid w:val="143376FC"/>
    <w:rsid w:val="15041AF5"/>
    <w:rsid w:val="15106BCD"/>
    <w:rsid w:val="15187886"/>
    <w:rsid w:val="15A20618"/>
    <w:rsid w:val="15EC5703"/>
    <w:rsid w:val="15FA2BC8"/>
    <w:rsid w:val="16F413C5"/>
    <w:rsid w:val="1712171C"/>
    <w:rsid w:val="18181DFF"/>
    <w:rsid w:val="18E257D3"/>
    <w:rsid w:val="196E01BD"/>
    <w:rsid w:val="1B035A0F"/>
    <w:rsid w:val="1BC96D71"/>
    <w:rsid w:val="1BF815E2"/>
    <w:rsid w:val="1D1E7A81"/>
    <w:rsid w:val="1E73531F"/>
    <w:rsid w:val="208D112C"/>
    <w:rsid w:val="211C7540"/>
    <w:rsid w:val="213905D1"/>
    <w:rsid w:val="213965BB"/>
    <w:rsid w:val="221F5897"/>
    <w:rsid w:val="22862A19"/>
    <w:rsid w:val="237B088B"/>
    <w:rsid w:val="24352E37"/>
    <w:rsid w:val="24DB3C79"/>
    <w:rsid w:val="250D7AF6"/>
    <w:rsid w:val="25B23C0D"/>
    <w:rsid w:val="26EC76C0"/>
    <w:rsid w:val="27BC1BCF"/>
    <w:rsid w:val="284F090E"/>
    <w:rsid w:val="29F547B7"/>
    <w:rsid w:val="2BFB7259"/>
    <w:rsid w:val="2D1E73A5"/>
    <w:rsid w:val="2D672D4A"/>
    <w:rsid w:val="2DDF05C0"/>
    <w:rsid w:val="2DF50628"/>
    <w:rsid w:val="2FE13883"/>
    <w:rsid w:val="30517656"/>
    <w:rsid w:val="31EF7D4F"/>
    <w:rsid w:val="32430CC6"/>
    <w:rsid w:val="32546D64"/>
    <w:rsid w:val="329B10DE"/>
    <w:rsid w:val="333D3C9C"/>
    <w:rsid w:val="33FB0C02"/>
    <w:rsid w:val="34D31369"/>
    <w:rsid w:val="34F62354"/>
    <w:rsid w:val="356B2D42"/>
    <w:rsid w:val="36BC432E"/>
    <w:rsid w:val="37344B11"/>
    <w:rsid w:val="377F7231"/>
    <w:rsid w:val="380B04EE"/>
    <w:rsid w:val="38230A27"/>
    <w:rsid w:val="39B759DC"/>
    <w:rsid w:val="3A66589C"/>
    <w:rsid w:val="3AD40D45"/>
    <w:rsid w:val="3B9B5A04"/>
    <w:rsid w:val="3C4D218B"/>
    <w:rsid w:val="3C9B3F0D"/>
    <w:rsid w:val="3D791D75"/>
    <w:rsid w:val="3D7D1865"/>
    <w:rsid w:val="3E180332"/>
    <w:rsid w:val="3F375E56"/>
    <w:rsid w:val="3FCC17BF"/>
    <w:rsid w:val="413E52A6"/>
    <w:rsid w:val="424F5E90"/>
    <w:rsid w:val="43014CE6"/>
    <w:rsid w:val="433C187A"/>
    <w:rsid w:val="440D6A7E"/>
    <w:rsid w:val="44167592"/>
    <w:rsid w:val="441743AC"/>
    <w:rsid w:val="44A67AAA"/>
    <w:rsid w:val="44F06DBE"/>
    <w:rsid w:val="46152C06"/>
    <w:rsid w:val="4674534A"/>
    <w:rsid w:val="493572AC"/>
    <w:rsid w:val="4A161BF9"/>
    <w:rsid w:val="4BD25100"/>
    <w:rsid w:val="4BEB588D"/>
    <w:rsid w:val="4C2A2A98"/>
    <w:rsid w:val="4C524349"/>
    <w:rsid w:val="4C624043"/>
    <w:rsid w:val="4CCC386D"/>
    <w:rsid w:val="4DBF79B1"/>
    <w:rsid w:val="4E4568C3"/>
    <w:rsid w:val="4E460794"/>
    <w:rsid w:val="4EFA455B"/>
    <w:rsid w:val="4F8E0BB0"/>
    <w:rsid w:val="4FAD0B0A"/>
    <w:rsid w:val="50046FE1"/>
    <w:rsid w:val="505F7064"/>
    <w:rsid w:val="50A56230"/>
    <w:rsid w:val="52AB30AC"/>
    <w:rsid w:val="54077271"/>
    <w:rsid w:val="541D7131"/>
    <w:rsid w:val="55097B6F"/>
    <w:rsid w:val="5522395C"/>
    <w:rsid w:val="565521FB"/>
    <w:rsid w:val="579432C3"/>
    <w:rsid w:val="58CD4FF7"/>
    <w:rsid w:val="59167E0F"/>
    <w:rsid w:val="5CE96177"/>
    <w:rsid w:val="5D2B7514"/>
    <w:rsid w:val="5D2D5AA6"/>
    <w:rsid w:val="5D457CC7"/>
    <w:rsid w:val="5F300020"/>
    <w:rsid w:val="5FA171DD"/>
    <w:rsid w:val="61227757"/>
    <w:rsid w:val="614E520A"/>
    <w:rsid w:val="6171338B"/>
    <w:rsid w:val="627D7586"/>
    <w:rsid w:val="637569B7"/>
    <w:rsid w:val="64726B48"/>
    <w:rsid w:val="68FC6194"/>
    <w:rsid w:val="692E7D33"/>
    <w:rsid w:val="6A7A3035"/>
    <w:rsid w:val="6CDB39FC"/>
    <w:rsid w:val="6D47333A"/>
    <w:rsid w:val="6DFA0AFC"/>
    <w:rsid w:val="6EFF130B"/>
    <w:rsid w:val="6F5D25D6"/>
    <w:rsid w:val="71824EFF"/>
    <w:rsid w:val="71A321F2"/>
    <w:rsid w:val="72A55860"/>
    <w:rsid w:val="72CB2403"/>
    <w:rsid w:val="73E73B48"/>
    <w:rsid w:val="74051691"/>
    <w:rsid w:val="75EE4089"/>
    <w:rsid w:val="76114D74"/>
    <w:rsid w:val="76172F86"/>
    <w:rsid w:val="77E90049"/>
    <w:rsid w:val="77FF2280"/>
    <w:rsid w:val="79232244"/>
    <w:rsid w:val="79E104AA"/>
    <w:rsid w:val="7A2D2064"/>
    <w:rsid w:val="7B78070C"/>
    <w:rsid w:val="7BC00DE2"/>
    <w:rsid w:val="7BDD99FA"/>
    <w:rsid w:val="7D4040C7"/>
    <w:rsid w:val="7DC4311D"/>
    <w:rsid w:val="7E060574"/>
    <w:rsid w:val="7EA30D99"/>
    <w:rsid w:val="7ED937F0"/>
    <w:rsid w:val="7F6D15ED"/>
    <w:rsid w:val="7FE3F4BF"/>
    <w:rsid w:val="7FFD1B95"/>
    <w:rsid w:val="7FFF0130"/>
    <w:rsid w:val="9ADDE086"/>
    <w:rsid w:val="B6F30B44"/>
    <w:rsid w:val="BEFE0BE8"/>
    <w:rsid w:val="BF6A69D7"/>
    <w:rsid w:val="D7DEFD4D"/>
    <w:rsid w:val="DECF9124"/>
    <w:rsid w:val="DFBCEAA8"/>
    <w:rsid w:val="E6FEDA72"/>
    <w:rsid w:val="EFDE337F"/>
    <w:rsid w:val="F22D8843"/>
    <w:rsid w:val="F35AE538"/>
    <w:rsid w:val="F79F2697"/>
    <w:rsid w:val="FBFBFEFA"/>
    <w:rsid w:val="FDDE7973"/>
    <w:rsid w:val="FDFE8447"/>
    <w:rsid w:val="FFE2E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 w:hAnsi="Calibri"/>
      <w:b/>
      <w:bCs/>
      <w:color w:val="auto"/>
      <w:kern w:val="2"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ind w:left="630"/>
    </w:pPr>
    <w:rPr>
      <w:kern w:val="0"/>
      <w:sz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qFormat/>
    <w:uiPriority w:val="0"/>
    <w:pPr>
      <w:widowControl w:val="0"/>
      <w:adjustRightInd w:val="0"/>
      <w:spacing w:line="360" w:lineRule="atLeast"/>
      <w:ind w:firstLine="482"/>
    </w:pPr>
    <w:rPr>
      <w:color w:val="auto"/>
      <w:sz w:val="24"/>
      <w:u w:val="none" w:color="auto"/>
    </w:rPr>
  </w:style>
  <w:style w:type="paragraph" w:styleId="7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8">
    <w:name w:val="Plain Text"/>
    <w:basedOn w:val="1"/>
    <w:qFormat/>
    <w:uiPriority w:val="0"/>
    <w:rPr>
      <w:rFonts w:ascii="宋体" w:hAnsi="Courier New" w:cstheme="minorBidi"/>
      <w:color w:val="auto"/>
      <w:kern w:val="2"/>
      <w:szCs w:val="22"/>
    </w:rPr>
  </w:style>
  <w:style w:type="paragraph" w:styleId="9">
    <w:name w:val="Date"/>
    <w:basedOn w:val="1"/>
    <w:next w:val="1"/>
    <w:qFormat/>
    <w:uiPriority w:val="0"/>
    <w:rPr>
      <w:rFonts w:asciiTheme="minorHAnsi" w:hAnsiTheme="minorHAnsi" w:cstheme="minorBidi"/>
      <w:b/>
      <w:color w:val="auto"/>
      <w:kern w:val="2"/>
      <w:sz w:val="28"/>
      <w:szCs w:val="22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dl"/>
    <w:basedOn w:val="1"/>
    <w:qFormat/>
    <w:uiPriority w:val="0"/>
    <w:pPr>
      <w:widowControl w:val="0"/>
      <w:spacing w:before="100" w:beforeAutospacing="1" w:after="100" w:afterAutospacing="1" w:line="240" w:lineRule="auto"/>
      <w:textAlignment w:val="auto"/>
    </w:pPr>
    <w:rPr>
      <w:color w:val="auto"/>
      <w:kern w:val="2"/>
      <w:szCs w:val="24"/>
      <w:u w:val="none" w:color="auto"/>
    </w:rPr>
  </w:style>
  <w:style w:type="paragraph" w:customStyle="1" w:styleId="20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color w:val="auto"/>
      <w:sz w:val="28"/>
      <w:szCs w:val="28"/>
    </w:rPr>
  </w:style>
  <w:style w:type="paragraph" w:customStyle="1" w:styleId="21">
    <w:name w:val="Char Char Char Char Char Char Char1 Char"/>
    <w:basedOn w:val="1"/>
    <w:qFormat/>
    <w:uiPriority w:val="0"/>
    <w:rPr>
      <w:rFonts w:ascii="Tahoma" w:hAnsi="Tahoma"/>
      <w:color w:val="auto"/>
      <w:kern w:val="2"/>
      <w:sz w:val="24"/>
      <w:szCs w:val="20"/>
    </w:rPr>
  </w:style>
  <w:style w:type="paragraph" w:customStyle="1" w:styleId="2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3064</Words>
  <Characters>3450</Characters>
  <Lines>0</Lines>
  <Paragraphs>0</Paragraphs>
  <TotalTime>42</TotalTime>
  <ScaleCrop>false</ScaleCrop>
  <LinksUpToDate>false</LinksUpToDate>
  <CharactersWithSpaces>3508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2021-12-09T18:12:00Z</dcterms:created>
  <dc:creator>尘土</dc:creator>
  <cp:lastModifiedBy>尘土</cp:lastModifiedBy>
  <cp:lastPrinted>2022-10-11T06:33:00Z</cp:lastPrinted>
  <dcterms:modified xsi:type="dcterms:W3CDTF">2022-10-21T07:19:25Z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8FB320225CEA40DD8321A40B07DFE6A3</vt:lpwstr>
  </property>
</Properties>
</file>