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b/>
          <w:sz w:val="32"/>
          <w:szCs w:val="32"/>
        </w:rPr>
      </w:pPr>
      <w:bookmarkStart w:id="0" w:name="_Toc30646"/>
      <w:bookmarkStart w:id="1" w:name="_Toc382659632"/>
      <w:bookmarkStart w:id="2" w:name="_Toc384208049"/>
      <w:bookmarkStart w:id="3" w:name="_Toc473902467"/>
      <w:bookmarkStart w:id="4" w:name="_Toc372814053"/>
      <w:bookmarkStart w:id="5" w:name="_Toc388887295"/>
    </w:p>
    <w:p>
      <w:pPr>
        <w:rPr>
          <w:sz w:val="36"/>
          <w:szCs w:val="36"/>
        </w:rPr>
      </w:pPr>
      <w:r>
        <w:rPr>
          <w:rFonts w:hint="eastAsia"/>
          <w:sz w:val="36"/>
          <w:szCs w:val="36"/>
        </w:rPr>
        <w:t>第一章 招标公告</w:t>
      </w:r>
      <w:bookmarkEnd w:id="0"/>
      <w:bookmarkEnd w:id="1"/>
      <w:bookmarkEnd w:id="2"/>
      <w:bookmarkEnd w:id="3"/>
      <w:bookmarkEnd w:id="4"/>
      <w:bookmarkEnd w:id="5"/>
    </w:p>
    <w:p>
      <w:pPr>
        <w:spacing w:line="360" w:lineRule="auto"/>
        <w:jc w:val="left"/>
        <w:rPr>
          <w:rFonts w:ascii="宋体" w:hAnsi="宋体" w:cs="宋体"/>
          <w:szCs w:val="21"/>
        </w:rPr>
      </w:pPr>
      <w:bookmarkStart w:id="6" w:name="_Toc388887651"/>
      <w:bookmarkStart w:id="7" w:name="_Toc388887296"/>
      <w:bookmarkStart w:id="8" w:name="_Toc349985296"/>
    </w:p>
    <w:p>
      <w:pPr>
        <w:spacing w:line="360" w:lineRule="auto"/>
        <w:rPr>
          <w:rFonts w:ascii="宋体" w:hAnsi="宋体" w:cs="宋体"/>
          <w:szCs w:val="21"/>
        </w:rPr>
      </w:pPr>
      <w:r>
        <w:rPr>
          <w:rFonts w:hint="eastAsia" w:ascii="宋体" w:hAnsi="宋体" w:cs="宋体"/>
          <w:szCs w:val="21"/>
        </w:rPr>
        <w:t>一、招标项目名称：</w:t>
      </w:r>
      <w:r>
        <w:rPr>
          <w:rFonts w:hint="eastAsia" w:ascii="Arial" w:hAnsi="Arial" w:cs="Arial"/>
          <w:color w:val="000000"/>
          <w:szCs w:val="21"/>
        </w:rPr>
        <w:t>安徽相王医疗健康股份有限公司</w:t>
      </w:r>
      <w:r>
        <w:rPr>
          <w:rFonts w:hint="eastAsia" w:ascii="宋体" w:hAnsi="宋体" w:cs="宋体"/>
          <w:szCs w:val="21"/>
          <w:lang w:val="en-US" w:eastAsia="zh-CN"/>
        </w:rPr>
        <w:t>DRG综合管理信息系统</w:t>
      </w:r>
      <w:r>
        <w:rPr>
          <w:rFonts w:ascii="宋体" w:hAnsi="宋体" w:cs="宋体"/>
          <w:szCs w:val="21"/>
        </w:rPr>
        <w:t>项目</w:t>
      </w:r>
    </w:p>
    <w:p>
      <w:pPr>
        <w:spacing w:before="160"/>
        <w:rPr>
          <w:rFonts w:ascii="宋体" w:hAnsi="宋体" w:cs="宋体"/>
          <w:szCs w:val="21"/>
        </w:rPr>
      </w:pPr>
      <w:r>
        <w:rPr>
          <w:rFonts w:hint="eastAsia" w:ascii="宋体" w:hAnsi="宋体" w:cs="宋体"/>
          <w:szCs w:val="21"/>
        </w:rPr>
        <w:t>二、采购人名称：</w:t>
      </w:r>
      <w:r>
        <w:rPr>
          <w:rFonts w:hint="eastAsia" w:ascii="Arial" w:hAnsi="Arial" w:cs="Arial"/>
          <w:color w:val="000000"/>
          <w:szCs w:val="21"/>
        </w:rPr>
        <w:t>安徽相王医疗健康股份有限公司</w:t>
      </w:r>
    </w:p>
    <w:p>
      <w:pPr>
        <w:spacing w:line="360" w:lineRule="auto"/>
        <w:jc w:val="left"/>
        <w:rPr>
          <w:rFonts w:ascii="宋体" w:hAnsi="宋体" w:cs="宋体"/>
          <w:szCs w:val="21"/>
        </w:rPr>
      </w:pPr>
      <w:r>
        <w:rPr>
          <w:rFonts w:hint="eastAsia" w:ascii="宋体" w:hAnsi="宋体" w:cs="宋体"/>
          <w:szCs w:val="21"/>
        </w:rPr>
        <w:t>三、采购人地址：</w:t>
      </w:r>
      <w:r>
        <w:rPr>
          <w:rFonts w:ascii="宋体" w:hAnsi="宋体" w:cs="宋体"/>
          <w:szCs w:val="21"/>
        </w:rPr>
        <w:t>安徽省淮北市相山北路3号</w:t>
      </w:r>
    </w:p>
    <w:p>
      <w:pPr>
        <w:spacing w:line="360" w:lineRule="auto"/>
        <w:jc w:val="left"/>
        <w:rPr>
          <w:rFonts w:ascii="宋体" w:hAnsi="宋体" w:cs="宋体"/>
          <w:szCs w:val="21"/>
        </w:rPr>
      </w:pPr>
      <w:r>
        <w:rPr>
          <w:rFonts w:hint="eastAsia" w:ascii="宋体" w:hAnsi="宋体" w:cs="宋体"/>
          <w:szCs w:val="21"/>
        </w:rPr>
        <w:t>四、采购方式：公开招标</w:t>
      </w:r>
    </w:p>
    <w:p>
      <w:pPr>
        <w:spacing w:line="360" w:lineRule="auto"/>
        <w:jc w:val="left"/>
        <w:rPr>
          <w:rFonts w:ascii="宋体" w:hAnsi="宋体" w:cs="宋体"/>
          <w:szCs w:val="21"/>
        </w:rPr>
      </w:pPr>
      <w:r>
        <w:rPr>
          <w:rFonts w:hint="eastAsia" w:ascii="宋体" w:hAnsi="宋体" w:cs="宋体"/>
          <w:szCs w:val="21"/>
        </w:rPr>
        <w:t>五、项目范围：</w:t>
      </w:r>
      <w:r>
        <w:rPr>
          <w:rFonts w:hint="eastAsia" w:ascii="Arial" w:hAnsi="Arial" w:cs="Arial"/>
          <w:color w:val="000000"/>
          <w:szCs w:val="21"/>
        </w:rPr>
        <w:t>安徽相王医疗健康股份有限公司</w:t>
      </w:r>
      <w:r>
        <w:rPr>
          <w:rFonts w:hint="eastAsia" w:ascii="宋体" w:hAnsi="宋体" w:cs="宋体"/>
          <w:szCs w:val="21"/>
          <w:lang w:val="en-US" w:eastAsia="zh-CN"/>
        </w:rPr>
        <w:t>DRG综合管理信息系统</w:t>
      </w:r>
      <w:r>
        <w:rPr>
          <w:rFonts w:hint="eastAsia" w:ascii="宋体" w:hAnsi="宋体" w:cs="宋体"/>
          <w:szCs w:val="21"/>
        </w:rPr>
        <w:t>，具体详见招标文件。</w:t>
      </w:r>
    </w:p>
    <w:p>
      <w:pPr>
        <w:spacing w:line="360" w:lineRule="auto"/>
        <w:jc w:val="left"/>
        <w:rPr>
          <w:rFonts w:ascii="宋体" w:hAnsi="宋体" w:cs="宋体"/>
          <w:szCs w:val="21"/>
        </w:rPr>
      </w:pPr>
      <w:r>
        <w:rPr>
          <w:rFonts w:hint="eastAsia" w:ascii="宋体" w:hAnsi="宋体" w:cs="宋体"/>
          <w:szCs w:val="21"/>
        </w:rPr>
        <w:t>六、项目实施地点：详见招标文件</w:t>
      </w:r>
    </w:p>
    <w:p>
      <w:pPr>
        <w:spacing w:line="360" w:lineRule="auto"/>
        <w:jc w:val="left"/>
        <w:rPr>
          <w:rFonts w:ascii="宋体" w:hAnsi="宋体" w:cs="宋体"/>
          <w:color w:val="FF0000"/>
          <w:szCs w:val="21"/>
          <w:u w:val="single"/>
        </w:rPr>
      </w:pPr>
      <w:r>
        <w:rPr>
          <w:rFonts w:hint="eastAsia" w:ascii="宋体" w:hAnsi="宋体" w:cs="宋体"/>
          <w:szCs w:val="21"/>
        </w:rPr>
        <w:t>七、技术要求：</w:t>
      </w:r>
      <w:r>
        <w:rPr>
          <w:rFonts w:hint="eastAsia" w:ascii="宋体" w:hAnsi="宋体" w:cs="宋体"/>
          <w:color w:val="FF0000"/>
          <w:szCs w:val="21"/>
        </w:rPr>
        <w:t xml:space="preserve"> </w:t>
      </w:r>
      <w:r>
        <w:rPr>
          <w:rFonts w:hint="eastAsia" w:ascii="宋体" w:hAnsi="宋体" w:cs="宋体"/>
          <w:color w:val="FF0000"/>
          <w:szCs w:val="21"/>
          <w:u w:val="single"/>
        </w:rPr>
        <w:t>详见本招标文件第五章“采购需求”</w:t>
      </w:r>
    </w:p>
    <w:p>
      <w:pPr>
        <w:spacing w:line="360" w:lineRule="auto"/>
        <w:jc w:val="left"/>
        <w:rPr>
          <w:rFonts w:ascii="宋体" w:hAnsi="宋体" w:cs="宋体"/>
          <w:b/>
          <w:szCs w:val="21"/>
        </w:rPr>
      </w:pPr>
      <w:r>
        <w:rPr>
          <w:rFonts w:hint="eastAsia" w:ascii="宋体" w:hAnsi="宋体" w:cs="宋体"/>
          <w:b/>
          <w:szCs w:val="21"/>
        </w:rPr>
        <w:t>八、投标人资格条件：</w:t>
      </w:r>
    </w:p>
    <w:p>
      <w:pPr>
        <w:spacing w:line="360" w:lineRule="auto"/>
        <w:ind w:left="315" w:hanging="315" w:hangingChars="150"/>
        <w:jc w:val="left"/>
        <w:rPr>
          <w:rFonts w:ascii="宋体" w:hAnsi="宋体"/>
          <w:szCs w:val="21"/>
        </w:rPr>
      </w:pPr>
      <w:r>
        <w:rPr>
          <w:rFonts w:hint="eastAsia" w:ascii="宋体" w:hAnsi="宋体"/>
          <w:szCs w:val="21"/>
        </w:rPr>
        <w:t>1、投标人须符合《中华人民共和国政府采购法》第二十二条规定的供应商应具备的条件，有承担项目能力、良好资信、能独立承担民事责任。</w:t>
      </w:r>
    </w:p>
    <w:p>
      <w:pPr>
        <w:spacing w:line="360" w:lineRule="auto"/>
        <w:ind w:left="315" w:hanging="315" w:hangingChars="150"/>
        <w:jc w:val="left"/>
        <w:rPr>
          <w:rFonts w:ascii="宋体" w:hAnsi="宋体"/>
          <w:szCs w:val="21"/>
        </w:rPr>
      </w:pPr>
      <w:r>
        <w:rPr>
          <w:rFonts w:hint="eastAsia" w:ascii="宋体" w:hAnsi="宋体"/>
          <w:szCs w:val="21"/>
        </w:rPr>
        <w:t>2、投标人须</w:t>
      </w:r>
      <w:r>
        <w:rPr>
          <w:rFonts w:ascii="宋体" w:hAnsi="宋体"/>
          <w:szCs w:val="21"/>
        </w:rPr>
        <w:t>具有良好的商业信誉和健全的财务</w:t>
      </w:r>
      <w:r>
        <w:fldChar w:fldCharType="begin"/>
      </w:r>
      <w:r>
        <w:instrText xml:space="preserve"> HYPERLINK "http://www.so.com/s?q=%E4%BC%9A%E8%AE%A1%E5%88%B6%E5%BA%A6&amp;ie=utf-8&amp;src=wenda_link" \t "_blank" </w:instrText>
      </w:r>
      <w:r>
        <w:fldChar w:fldCharType="separate"/>
      </w:r>
      <w:r>
        <w:rPr>
          <w:rFonts w:ascii="宋体" w:hAnsi="宋体"/>
        </w:rPr>
        <w:t>会计制度</w:t>
      </w:r>
      <w:r>
        <w:rPr>
          <w:rFonts w:ascii="宋体" w:hAnsi="宋体"/>
        </w:rPr>
        <w:fldChar w:fldCharType="end"/>
      </w:r>
      <w:r>
        <w:rPr>
          <w:rFonts w:hint="eastAsia" w:ascii="宋体" w:hAnsi="宋体"/>
          <w:szCs w:val="21"/>
        </w:rPr>
        <w:t>。</w:t>
      </w:r>
    </w:p>
    <w:p>
      <w:pPr>
        <w:spacing w:line="360" w:lineRule="auto"/>
        <w:ind w:left="315" w:hanging="315" w:hangingChars="150"/>
        <w:jc w:val="left"/>
        <w:rPr>
          <w:rFonts w:ascii="宋体" w:hAnsi="宋体"/>
          <w:szCs w:val="21"/>
        </w:rPr>
      </w:pPr>
      <w:r>
        <w:rPr>
          <w:rFonts w:hint="eastAsia" w:ascii="宋体" w:hAnsi="宋体"/>
          <w:szCs w:val="21"/>
        </w:rPr>
        <w:t>3、投标人近三年无行贿犯罪记录（由投标人出具的无行贿犯罪告知承诺书）。</w:t>
      </w:r>
    </w:p>
    <w:p>
      <w:pPr>
        <w:spacing w:line="360" w:lineRule="auto"/>
        <w:ind w:left="420" w:hanging="420" w:hangingChars="200"/>
        <w:jc w:val="left"/>
        <w:rPr>
          <w:rFonts w:ascii="宋体" w:hAnsi="宋体" w:cs="宋体"/>
          <w:szCs w:val="21"/>
        </w:rPr>
      </w:pPr>
      <w:r>
        <w:rPr>
          <w:rFonts w:hint="eastAsia" w:ascii="宋体" w:hAnsi="宋体" w:cs="宋体"/>
          <w:szCs w:val="21"/>
        </w:rPr>
        <w:t>4、被授权委托人正常缴纳社会保险。</w:t>
      </w:r>
    </w:p>
    <w:p>
      <w:pPr>
        <w:spacing w:line="360" w:lineRule="auto"/>
        <w:ind w:left="420" w:hanging="420" w:hangingChars="200"/>
        <w:jc w:val="left"/>
        <w:rPr>
          <w:rFonts w:hint="eastAsia" w:eastAsia="宋体"/>
          <w:spacing w:val="-12"/>
          <w:highlight w:val="none"/>
          <w:lang w:eastAsia="zh-CN"/>
        </w:rPr>
      </w:pPr>
      <w:r>
        <w:rPr>
          <w:rFonts w:hint="eastAsia" w:ascii="宋体" w:hAnsi="宋体" w:cs="宋体"/>
          <w:szCs w:val="21"/>
          <w:highlight w:val="none"/>
        </w:rPr>
        <w:t>5</w:t>
      </w:r>
      <w:r>
        <w:rPr>
          <w:rFonts w:hint="eastAsia" w:ascii="宋体" w:hAnsi="宋体" w:cs="宋体"/>
          <w:szCs w:val="21"/>
          <w:highlight w:val="none"/>
          <w:lang w:eastAsia="zh-CN"/>
        </w:rPr>
        <w:t>、</w:t>
      </w:r>
      <w:r>
        <w:rPr>
          <w:rFonts w:hint="eastAsia"/>
          <w:spacing w:val="-12"/>
          <w:highlight w:val="none"/>
        </w:rPr>
        <w:t>具有DRG综合管理信息系统运行服务能力</w:t>
      </w:r>
      <w:r>
        <w:rPr>
          <w:rFonts w:hint="eastAsia"/>
          <w:spacing w:val="-12"/>
          <w:highlight w:val="none"/>
          <w:lang w:eastAsia="zh-CN"/>
        </w:rPr>
        <w:t>。</w:t>
      </w:r>
    </w:p>
    <w:p>
      <w:pPr>
        <w:spacing w:line="360" w:lineRule="auto"/>
        <w:rPr>
          <w:rFonts w:ascii="宋体" w:hAnsi="宋体" w:cs="宋体"/>
          <w:szCs w:val="21"/>
          <w:highlight w:val="none"/>
        </w:rPr>
      </w:pPr>
      <w:r>
        <w:rPr>
          <w:rFonts w:hint="eastAsia" w:ascii="宋体" w:hAnsi="宋体" w:cs="宋体"/>
          <w:szCs w:val="21"/>
          <w:highlight w:val="none"/>
        </w:rPr>
        <w:t>九、投标截止时间：2022年1</w:t>
      </w:r>
      <w:r>
        <w:rPr>
          <w:rFonts w:hint="eastAsia" w:ascii="宋体" w:hAnsi="宋体" w:cs="宋体"/>
          <w:szCs w:val="21"/>
          <w:highlight w:val="none"/>
          <w:lang w:val="en-US" w:eastAsia="zh-CN"/>
        </w:rPr>
        <w:t>1</w:t>
      </w:r>
      <w:r>
        <w:rPr>
          <w:rFonts w:hint="eastAsia" w:ascii="宋体" w:hAnsi="宋体" w:cs="宋体"/>
          <w:szCs w:val="21"/>
          <w:highlight w:val="none"/>
        </w:rPr>
        <w:t>月</w:t>
      </w:r>
      <w:r>
        <w:rPr>
          <w:rFonts w:hint="eastAsia" w:ascii="宋体" w:hAnsi="宋体" w:cs="宋体"/>
          <w:szCs w:val="21"/>
          <w:highlight w:val="none"/>
          <w:lang w:val="en-US" w:eastAsia="zh-CN"/>
        </w:rPr>
        <w:t>9</w:t>
      </w:r>
      <w:r>
        <w:rPr>
          <w:rFonts w:hint="eastAsia" w:ascii="宋体" w:hAnsi="宋体" w:cs="宋体"/>
          <w:szCs w:val="21"/>
          <w:highlight w:val="none"/>
        </w:rPr>
        <w:t>日上午9：00（北京时间）</w:t>
      </w:r>
      <w:r>
        <w:rPr>
          <w:rFonts w:hint="eastAsia" w:ascii="宋体" w:hAnsi="宋体" w:cs="宋体"/>
          <w:szCs w:val="21"/>
          <w:highlight w:val="none"/>
          <w:lang w:val="en-US" w:eastAsia="zh-CN"/>
        </w:rPr>
        <w:t xml:space="preserve">         </w:t>
      </w:r>
    </w:p>
    <w:p>
      <w:pPr>
        <w:spacing w:line="360" w:lineRule="auto"/>
        <w:rPr>
          <w:rFonts w:ascii="宋体" w:hAnsi="宋体" w:cs="宋体"/>
          <w:szCs w:val="21"/>
          <w:highlight w:val="none"/>
        </w:rPr>
      </w:pPr>
      <w:r>
        <w:rPr>
          <w:rFonts w:hint="eastAsia" w:ascii="宋体" w:hAnsi="宋体" w:cs="宋体"/>
          <w:szCs w:val="21"/>
          <w:highlight w:val="none"/>
        </w:rPr>
        <w:t>十、开标时间：2022年1</w:t>
      </w:r>
      <w:r>
        <w:rPr>
          <w:rFonts w:hint="eastAsia" w:ascii="宋体" w:hAnsi="宋体" w:cs="宋体"/>
          <w:szCs w:val="21"/>
          <w:highlight w:val="none"/>
          <w:lang w:val="en-US" w:eastAsia="zh-CN"/>
        </w:rPr>
        <w:t>1</w:t>
      </w:r>
      <w:r>
        <w:rPr>
          <w:rFonts w:hint="eastAsia" w:ascii="宋体" w:hAnsi="宋体" w:cs="宋体"/>
          <w:szCs w:val="21"/>
          <w:highlight w:val="none"/>
        </w:rPr>
        <w:t>月</w:t>
      </w:r>
      <w:r>
        <w:rPr>
          <w:rFonts w:hint="eastAsia" w:ascii="宋体" w:hAnsi="宋体" w:cs="宋体"/>
          <w:szCs w:val="21"/>
          <w:highlight w:val="none"/>
          <w:lang w:val="en-US" w:eastAsia="zh-CN"/>
        </w:rPr>
        <w:t>9</w:t>
      </w:r>
      <w:bookmarkStart w:id="325" w:name="_GoBack"/>
      <w:bookmarkEnd w:id="325"/>
      <w:r>
        <w:rPr>
          <w:rFonts w:hint="eastAsia" w:ascii="宋体" w:hAnsi="宋体" w:cs="宋体"/>
          <w:szCs w:val="21"/>
          <w:highlight w:val="none"/>
        </w:rPr>
        <w:t>日上午9：00（北京时间）</w:t>
      </w:r>
    </w:p>
    <w:p>
      <w:pPr>
        <w:spacing w:line="360" w:lineRule="auto"/>
        <w:rPr>
          <w:rFonts w:ascii="宋体" w:hAnsi="宋体" w:cs="宋体"/>
          <w:szCs w:val="21"/>
          <w:highlight w:val="none"/>
        </w:rPr>
      </w:pPr>
      <w:r>
        <w:rPr>
          <w:rFonts w:hint="eastAsia" w:ascii="宋体" w:hAnsi="宋体" w:cs="宋体"/>
          <w:szCs w:val="21"/>
          <w:highlight w:val="none"/>
        </w:rPr>
        <w:t>十一、开标地点：安徽相王医疗健康股份有限公司七号楼二楼会议室</w:t>
      </w:r>
      <w:r>
        <w:rPr>
          <w:rFonts w:ascii="宋体" w:hAnsi="宋体" w:cs="宋体"/>
          <w:szCs w:val="21"/>
          <w:highlight w:val="none"/>
        </w:rPr>
        <w:t xml:space="preserve"> </w:t>
      </w:r>
    </w:p>
    <w:p>
      <w:pPr>
        <w:spacing w:line="360" w:lineRule="auto"/>
        <w:jc w:val="left"/>
        <w:rPr>
          <w:rFonts w:ascii="宋体" w:hAnsi="宋体"/>
        </w:rPr>
        <w:sectPr>
          <w:pgSz w:w="11906" w:h="16838"/>
          <w:pgMar w:top="1440" w:right="1440" w:bottom="1440" w:left="1440" w:header="851" w:footer="851" w:gutter="0"/>
          <w:pgNumType w:start="0"/>
          <w:cols w:space="720" w:num="1"/>
          <w:docGrid w:type="linesAndChars" w:linePitch="312" w:charSpace="0"/>
        </w:sectPr>
      </w:pPr>
      <w:r>
        <w:rPr>
          <w:rFonts w:ascii="宋体" w:hAnsi="宋体" w:cs="宋体"/>
          <w:sz w:val="24"/>
          <w:szCs w:val="24"/>
        </w:rPr>
        <w:t>十二</w:t>
      </w:r>
      <w:r>
        <w:rPr>
          <w:rFonts w:hint="eastAsia" w:ascii="宋体" w:hAnsi="宋体" w:cs="宋体"/>
          <w:sz w:val="24"/>
          <w:szCs w:val="24"/>
        </w:rPr>
        <w:t>、</w:t>
      </w:r>
      <w:r>
        <w:rPr>
          <w:rFonts w:hint="eastAsia" w:ascii="宋体" w:hAnsi="宋体" w:cs="宋体"/>
          <w:szCs w:val="21"/>
        </w:rPr>
        <w:t>本招标公告发布媒体：安徽</w:t>
      </w:r>
      <w:r>
        <w:rPr>
          <w:rFonts w:hint="eastAsia" w:ascii="宋体" w:hAnsi="宋体" w:cs="宋体"/>
          <w:szCs w:val="21"/>
          <w:lang w:eastAsia="zh-CN"/>
        </w:rPr>
        <w:t>省</w:t>
      </w:r>
      <w:r>
        <w:rPr>
          <w:rFonts w:hint="eastAsia" w:ascii="宋体" w:hAnsi="宋体" w:cs="宋体"/>
          <w:szCs w:val="21"/>
        </w:rPr>
        <w:t>招</w:t>
      </w:r>
      <w:r>
        <w:rPr>
          <w:rFonts w:hint="eastAsia" w:ascii="宋体" w:hAnsi="宋体" w:cs="宋体"/>
          <w:szCs w:val="21"/>
          <w:lang w:eastAsia="zh-CN"/>
        </w:rPr>
        <w:t>标</w:t>
      </w:r>
      <w:r>
        <w:rPr>
          <w:rFonts w:hint="eastAsia" w:ascii="宋体" w:hAnsi="宋体" w:cs="宋体"/>
          <w:szCs w:val="21"/>
        </w:rPr>
        <w:t>投标信</w:t>
      </w:r>
      <w:r>
        <w:rPr>
          <w:rFonts w:hint="eastAsia" w:ascii="宋体" w:hAnsi="宋体"/>
          <w:szCs w:val="21"/>
        </w:rPr>
        <w:t>息网</w:t>
      </w:r>
      <w:r>
        <w:rPr>
          <w:rFonts w:ascii="宋体" w:hAnsi="宋体"/>
          <w:szCs w:val="21"/>
        </w:rPr>
        <w:t>（www.ahtba.org.cn）</w:t>
      </w:r>
      <w:r>
        <w:rPr>
          <w:rFonts w:hint="eastAsia" w:ascii="宋体" w:hAnsi="宋体"/>
          <w:szCs w:val="21"/>
        </w:rPr>
        <w:t>、安徽皖北康复</w:t>
      </w:r>
      <w:r>
        <w:rPr>
          <w:rFonts w:ascii="宋体" w:hAnsi="宋体"/>
          <w:szCs w:val="21"/>
        </w:rPr>
        <w:t xml:space="preserve">医院（www. </w:t>
      </w:r>
      <w:r>
        <w:rPr>
          <w:rFonts w:hint="eastAsia" w:ascii="宋体" w:hAnsi="宋体"/>
          <w:szCs w:val="21"/>
        </w:rPr>
        <w:t>a</w:t>
      </w:r>
      <w:r>
        <w:rPr>
          <w:rFonts w:ascii="宋体" w:hAnsi="宋体"/>
          <w:szCs w:val="21"/>
        </w:rPr>
        <w:t>hwbkfyy.com ）</w:t>
      </w:r>
    </w:p>
    <w:bookmarkEnd w:id="6"/>
    <w:bookmarkEnd w:id="7"/>
    <w:bookmarkEnd w:id="8"/>
    <w:p>
      <w:pPr>
        <w:pStyle w:val="5"/>
      </w:pPr>
      <w:bookmarkStart w:id="9" w:name="_Toc473902468"/>
      <w:bookmarkStart w:id="10" w:name="_Toc353448489"/>
      <w:bookmarkStart w:id="11" w:name="_Toc388887659"/>
      <w:bookmarkStart w:id="12" w:name="_Toc19733"/>
      <w:bookmarkStart w:id="13" w:name="_Toc388887298"/>
      <w:bookmarkStart w:id="14" w:name="_Toc349985298"/>
      <w:r>
        <w:rPr>
          <w:rFonts w:hint="eastAsia"/>
        </w:rPr>
        <w:t>第二章 投标人须知</w:t>
      </w:r>
      <w:bookmarkEnd w:id="9"/>
      <w:bookmarkEnd w:id="10"/>
    </w:p>
    <w:p>
      <w:pPr>
        <w:pStyle w:val="6"/>
        <w:jc w:val="center"/>
        <w:rPr>
          <w:rFonts w:hint="eastAsia"/>
        </w:rPr>
      </w:pPr>
      <w:bookmarkStart w:id="15" w:name="_Toc394068358"/>
      <w:bookmarkStart w:id="16" w:name="_Toc473902469"/>
      <w:bookmarkStart w:id="17" w:name="_Toc353448490"/>
      <w:r>
        <w:rPr>
          <w:rFonts w:hint="eastAsia"/>
        </w:rPr>
        <w:t>投标人须知前附表</w:t>
      </w:r>
      <w:bookmarkEnd w:id="15"/>
      <w:bookmarkEnd w:id="16"/>
      <w:bookmarkEnd w:id="17"/>
    </w:p>
    <w:tbl>
      <w:tblPr>
        <w:tblStyle w:val="4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2089"/>
        <w:gridCol w:w="5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1018" w:type="dxa"/>
            <w:vAlign w:val="center"/>
          </w:tcPr>
          <w:p>
            <w:pPr>
              <w:jc w:val="center"/>
              <w:rPr>
                <w:rFonts w:ascii="宋体" w:hAnsi="宋体"/>
                <w:b/>
                <w:szCs w:val="21"/>
              </w:rPr>
            </w:pPr>
            <w:r>
              <w:rPr>
                <w:rFonts w:hint="eastAsia" w:ascii="宋体" w:hAnsi="宋体"/>
                <w:b/>
                <w:szCs w:val="21"/>
              </w:rPr>
              <w:t>条款号</w:t>
            </w:r>
          </w:p>
        </w:tc>
        <w:tc>
          <w:tcPr>
            <w:tcW w:w="2089" w:type="dxa"/>
            <w:vAlign w:val="center"/>
          </w:tcPr>
          <w:p>
            <w:pPr>
              <w:jc w:val="center"/>
              <w:rPr>
                <w:rFonts w:ascii="宋体" w:hAnsi="宋体"/>
                <w:b/>
                <w:szCs w:val="21"/>
              </w:rPr>
            </w:pPr>
            <w:r>
              <w:rPr>
                <w:rFonts w:hint="eastAsia" w:ascii="宋体" w:hAnsi="宋体"/>
                <w:b/>
                <w:szCs w:val="21"/>
              </w:rPr>
              <w:t>条款名称</w:t>
            </w:r>
          </w:p>
        </w:tc>
        <w:tc>
          <w:tcPr>
            <w:tcW w:w="5648" w:type="dxa"/>
            <w:vAlign w:val="center"/>
          </w:tcPr>
          <w:p>
            <w:pPr>
              <w:jc w:val="center"/>
              <w:rPr>
                <w:rFonts w:ascii="宋体" w:hAnsi="宋体"/>
                <w:b/>
                <w:szCs w:val="21"/>
              </w:rPr>
            </w:pPr>
            <w:r>
              <w:rPr>
                <w:rFonts w:hint="eastAsia" w:ascii="宋体" w:hAnsi="宋体"/>
                <w:b/>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2089" w:type="dxa"/>
            <w:vAlign w:val="center"/>
          </w:tcPr>
          <w:p>
            <w:pPr>
              <w:rPr>
                <w:rFonts w:ascii="宋体" w:hAnsi="宋体"/>
                <w:szCs w:val="21"/>
              </w:rPr>
            </w:pPr>
            <w:r>
              <w:rPr>
                <w:rFonts w:hint="eastAsia" w:ascii="宋体" w:hAnsi="宋体"/>
                <w:szCs w:val="21"/>
              </w:rPr>
              <w:t>招标人</w:t>
            </w:r>
          </w:p>
        </w:tc>
        <w:tc>
          <w:tcPr>
            <w:tcW w:w="5648" w:type="dxa"/>
            <w:vAlign w:val="center"/>
          </w:tcPr>
          <w:p>
            <w:pPr>
              <w:spacing w:line="300" w:lineRule="auto"/>
              <w:jc w:val="left"/>
              <w:rPr>
                <w:rFonts w:ascii="宋体" w:hAnsi="宋体"/>
                <w:szCs w:val="21"/>
              </w:rPr>
            </w:pPr>
            <w:r>
              <w:rPr>
                <w:rFonts w:hint="eastAsia" w:ascii="宋体" w:hAnsi="宋体"/>
                <w:szCs w:val="21"/>
              </w:rPr>
              <w:t>名称：</w:t>
            </w:r>
            <w:r>
              <w:rPr>
                <w:rFonts w:hint="eastAsia" w:ascii="宋体" w:hAnsi="宋体" w:cs="宋体"/>
                <w:szCs w:val="21"/>
              </w:rPr>
              <w:t>：</w:t>
            </w:r>
            <w:r>
              <w:rPr>
                <w:rFonts w:hint="eastAsia" w:ascii="Arial" w:hAnsi="Arial" w:cs="Arial"/>
                <w:color w:val="000000"/>
                <w:szCs w:val="21"/>
              </w:rPr>
              <w:t>安徽相王医疗健康股份有限公司</w:t>
            </w:r>
          </w:p>
          <w:p>
            <w:pPr>
              <w:spacing w:line="300" w:lineRule="auto"/>
              <w:jc w:val="left"/>
              <w:rPr>
                <w:rFonts w:ascii="宋体" w:hAnsi="宋体"/>
                <w:szCs w:val="21"/>
              </w:rPr>
            </w:pPr>
            <w:r>
              <w:rPr>
                <w:rFonts w:hint="eastAsia" w:ascii="宋体" w:hAnsi="宋体"/>
                <w:szCs w:val="21"/>
              </w:rPr>
              <w:t>地址：</w:t>
            </w:r>
            <w:r>
              <w:rPr>
                <w:rFonts w:ascii="宋体" w:hAnsi="宋体"/>
                <w:szCs w:val="21"/>
              </w:rPr>
              <w:t>安徽省淮北市相山北路3号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w:t>
            </w:r>
          </w:p>
        </w:tc>
        <w:tc>
          <w:tcPr>
            <w:tcW w:w="2089" w:type="dxa"/>
            <w:vAlign w:val="center"/>
          </w:tcPr>
          <w:p>
            <w:pPr>
              <w:rPr>
                <w:rFonts w:ascii="宋体" w:hAnsi="宋体"/>
                <w:szCs w:val="21"/>
              </w:rPr>
            </w:pPr>
            <w:r>
              <w:rPr>
                <w:rFonts w:hint="eastAsia" w:ascii="宋体" w:hAnsi="宋体"/>
                <w:szCs w:val="21"/>
              </w:rPr>
              <w:t>项目名称</w:t>
            </w:r>
          </w:p>
        </w:tc>
        <w:tc>
          <w:tcPr>
            <w:tcW w:w="5648" w:type="dxa"/>
            <w:vAlign w:val="center"/>
          </w:tcPr>
          <w:p>
            <w:pPr>
              <w:spacing w:line="300" w:lineRule="auto"/>
              <w:rPr>
                <w:rFonts w:ascii="宋体" w:hAnsi="宋体"/>
                <w:szCs w:val="21"/>
              </w:rPr>
            </w:pPr>
            <w:r>
              <w:rPr>
                <w:rFonts w:hint="eastAsia" w:ascii="Arial" w:hAnsi="Arial" w:cs="Arial"/>
                <w:color w:val="000000"/>
                <w:szCs w:val="21"/>
              </w:rPr>
              <w:t>安徽相王医疗健康股份有限公司</w:t>
            </w:r>
            <w:r>
              <w:rPr>
                <w:rFonts w:hint="eastAsia" w:ascii="宋体" w:hAnsi="宋体" w:cs="宋体"/>
                <w:szCs w:val="21"/>
                <w:lang w:val="en-US" w:eastAsia="zh-CN"/>
              </w:rPr>
              <w:t>DRG综合管理信息系统</w:t>
            </w:r>
            <w:r>
              <w:rPr>
                <w:rFonts w:ascii="宋体" w:hAnsi="宋体" w:cs="宋体"/>
                <w:szCs w:val="21"/>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w:t>
            </w:r>
          </w:p>
        </w:tc>
        <w:tc>
          <w:tcPr>
            <w:tcW w:w="2089" w:type="dxa"/>
            <w:vAlign w:val="center"/>
          </w:tcPr>
          <w:p>
            <w:pPr>
              <w:rPr>
                <w:rFonts w:ascii="宋体" w:hAnsi="宋体"/>
                <w:szCs w:val="21"/>
              </w:rPr>
            </w:pPr>
            <w:r>
              <w:rPr>
                <w:rFonts w:hint="eastAsia" w:ascii="宋体" w:hAnsi="宋体"/>
                <w:szCs w:val="21"/>
              </w:rPr>
              <w:t>项目实施地点</w:t>
            </w:r>
          </w:p>
        </w:tc>
        <w:tc>
          <w:tcPr>
            <w:tcW w:w="5648" w:type="dxa"/>
            <w:vAlign w:val="center"/>
          </w:tcPr>
          <w:p>
            <w:pPr>
              <w:spacing w:line="300" w:lineRule="auto"/>
              <w:jc w:val="left"/>
              <w:rPr>
                <w:rFonts w:ascii="宋体" w:hAnsi="宋体"/>
                <w:color w:val="FF0000"/>
                <w:szCs w:val="21"/>
              </w:rPr>
            </w:pPr>
            <w:r>
              <w:rPr>
                <w:rFonts w:ascii="宋体" w:hAnsi="宋体"/>
                <w:color w:val="FF0000"/>
                <w:szCs w:val="21"/>
              </w:rPr>
              <w:t>安徽省淮北市相山北路3号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4</w:t>
            </w:r>
          </w:p>
        </w:tc>
        <w:tc>
          <w:tcPr>
            <w:tcW w:w="2089" w:type="dxa"/>
            <w:vAlign w:val="center"/>
          </w:tcPr>
          <w:p>
            <w:pPr>
              <w:rPr>
                <w:rFonts w:ascii="宋体" w:hAnsi="宋体"/>
                <w:szCs w:val="21"/>
              </w:rPr>
            </w:pPr>
            <w:r>
              <w:rPr>
                <w:rFonts w:hint="eastAsia" w:ascii="宋体" w:hAnsi="宋体"/>
                <w:szCs w:val="21"/>
              </w:rPr>
              <w:t>资金来源</w:t>
            </w:r>
          </w:p>
        </w:tc>
        <w:tc>
          <w:tcPr>
            <w:tcW w:w="5648" w:type="dxa"/>
            <w:vAlign w:val="center"/>
          </w:tcPr>
          <w:p>
            <w:pPr>
              <w:spacing w:line="300" w:lineRule="auto"/>
              <w:rPr>
                <w:rFonts w:ascii="宋体" w:hAnsi="宋体"/>
                <w:szCs w:val="21"/>
              </w:rPr>
            </w:pPr>
            <w:r>
              <w:rPr>
                <w:rFonts w:hint="eastAsia" w:ascii="宋体" w:hAnsi="宋体"/>
                <w:bCs/>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5</w:t>
            </w:r>
          </w:p>
        </w:tc>
        <w:tc>
          <w:tcPr>
            <w:tcW w:w="2089" w:type="dxa"/>
            <w:vAlign w:val="center"/>
          </w:tcPr>
          <w:p>
            <w:pPr>
              <w:rPr>
                <w:rFonts w:ascii="宋体" w:hAnsi="宋体"/>
                <w:szCs w:val="21"/>
              </w:rPr>
            </w:pPr>
            <w:r>
              <w:rPr>
                <w:rFonts w:hint="eastAsia" w:ascii="宋体" w:hAnsi="宋体"/>
                <w:szCs w:val="21"/>
              </w:rPr>
              <w:t>出资比例</w:t>
            </w:r>
          </w:p>
        </w:tc>
        <w:tc>
          <w:tcPr>
            <w:tcW w:w="5648" w:type="dxa"/>
            <w:vAlign w:val="center"/>
          </w:tcPr>
          <w:p>
            <w:pPr>
              <w:spacing w:line="300" w:lineRule="auto"/>
              <w:rPr>
                <w:rFonts w:ascii="宋体" w:hAnsi="宋体"/>
                <w:szCs w:val="21"/>
              </w:rPr>
            </w:pPr>
            <w:r>
              <w:rPr>
                <w:rFonts w:hint="eastAsia" w:ascii="宋体" w:hAnsi="宋体"/>
                <w:bCs/>
                <w:szCs w:val="21"/>
              </w:rPr>
              <w:t>100%</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6</w:t>
            </w:r>
          </w:p>
        </w:tc>
        <w:tc>
          <w:tcPr>
            <w:tcW w:w="2089" w:type="dxa"/>
            <w:vAlign w:val="center"/>
          </w:tcPr>
          <w:p>
            <w:pPr>
              <w:rPr>
                <w:rFonts w:ascii="宋体" w:hAnsi="宋体"/>
                <w:szCs w:val="21"/>
              </w:rPr>
            </w:pPr>
            <w:r>
              <w:rPr>
                <w:rFonts w:hint="eastAsia" w:ascii="宋体" w:hAnsi="宋体"/>
                <w:szCs w:val="21"/>
              </w:rPr>
              <w:t>资金落实情况</w:t>
            </w:r>
          </w:p>
        </w:tc>
        <w:tc>
          <w:tcPr>
            <w:tcW w:w="5648" w:type="dxa"/>
            <w:vAlign w:val="center"/>
          </w:tcPr>
          <w:p>
            <w:pPr>
              <w:spacing w:line="300" w:lineRule="auto"/>
              <w:rPr>
                <w:rFonts w:ascii="宋体" w:hAnsi="宋体"/>
                <w:szCs w:val="21"/>
              </w:rPr>
            </w:pPr>
            <w:r>
              <w:rPr>
                <w:rFonts w:hint="eastAsia" w:ascii="宋体" w:hAnsi="宋体"/>
                <w:bCs/>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7</w:t>
            </w:r>
          </w:p>
        </w:tc>
        <w:tc>
          <w:tcPr>
            <w:tcW w:w="2089" w:type="dxa"/>
            <w:vAlign w:val="center"/>
          </w:tcPr>
          <w:p>
            <w:pPr>
              <w:rPr>
                <w:rFonts w:ascii="宋体" w:hAnsi="宋体"/>
                <w:szCs w:val="21"/>
              </w:rPr>
            </w:pPr>
            <w:r>
              <w:rPr>
                <w:rFonts w:hint="eastAsia" w:ascii="宋体" w:hAnsi="宋体"/>
                <w:szCs w:val="21"/>
              </w:rPr>
              <w:t>招标范围</w:t>
            </w:r>
          </w:p>
        </w:tc>
        <w:tc>
          <w:tcPr>
            <w:tcW w:w="5648" w:type="dxa"/>
            <w:vAlign w:val="center"/>
          </w:tcPr>
          <w:p>
            <w:pPr>
              <w:spacing w:line="300" w:lineRule="auto"/>
              <w:rPr>
                <w:rFonts w:ascii="宋体" w:hAnsi="宋体"/>
                <w:szCs w:val="21"/>
              </w:rPr>
            </w:pPr>
            <w:r>
              <w:rPr>
                <w:rFonts w:hint="eastAsia" w:ascii="Arial" w:hAnsi="Arial" w:cs="Arial"/>
                <w:color w:val="000000"/>
                <w:szCs w:val="21"/>
              </w:rPr>
              <w:t>安徽相王医疗健康股份有限公司</w:t>
            </w:r>
            <w:r>
              <w:rPr>
                <w:rFonts w:hint="eastAsia" w:ascii="宋体" w:hAnsi="宋体" w:cs="宋体"/>
                <w:szCs w:val="21"/>
                <w:lang w:val="en-US" w:eastAsia="zh-CN"/>
              </w:rPr>
              <w:t>DRG综合管理信息系统。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8</w:t>
            </w:r>
          </w:p>
        </w:tc>
        <w:tc>
          <w:tcPr>
            <w:tcW w:w="2089" w:type="dxa"/>
            <w:vAlign w:val="center"/>
          </w:tcPr>
          <w:p>
            <w:pPr>
              <w:rPr>
                <w:rFonts w:ascii="宋体" w:hAnsi="宋体"/>
                <w:szCs w:val="21"/>
              </w:rPr>
            </w:pPr>
            <w:r>
              <w:rPr>
                <w:rFonts w:hint="eastAsia" w:ascii="宋体" w:hAnsi="宋体"/>
                <w:szCs w:val="21"/>
                <w:lang w:eastAsia="zh-CN"/>
              </w:rPr>
              <w:t>合同</w:t>
            </w:r>
            <w:r>
              <w:rPr>
                <w:rFonts w:hint="eastAsia" w:ascii="宋体" w:hAnsi="宋体"/>
                <w:szCs w:val="21"/>
              </w:rPr>
              <w:t>期限</w:t>
            </w:r>
          </w:p>
        </w:tc>
        <w:tc>
          <w:tcPr>
            <w:tcW w:w="5648" w:type="dxa"/>
            <w:vAlign w:val="center"/>
          </w:tcPr>
          <w:p>
            <w:pPr>
              <w:spacing w:line="300" w:lineRule="auto"/>
              <w:jc w:val="left"/>
              <w:rPr>
                <w:rFonts w:ascii="宋体" w:hAnsi="宋体"/>
                <w:szCs w:val="21"/>
                <w:u w:val="single"/>
              </w:rPr>
            </w:pPr>
            <w:r>
              <w:rPr>
                <w:rFonts w:hint="eastAsia" w:ascii="宋体" w:hAnsi="宋体" w:cs="宋体"/>
                <w:szCs w:val="21"/>
                <w:lang w:val="en-US" w:eastAsia="zh-CN"/>
              </w:rPr>
              <w:t>合同签订后3年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rPr>
            </w:pPr>
            <w:r>
              <w:rPr>
                <w:rFonts w:hint="eastAsia" w:ascii="宋体" w:hAnsi="宋体" w:eastAsia="宋体" w:cs="宋体"/>
                <w:i w:val="0"/>
                <w:iCs w:val="0"/>
                <w:color w:val="000000"/>
                <w:kern w:val="0"/>
                <w:sz w:val="22"/>
                <w:szCs w:val="22"/>
                <w:u w:val="none"/>
                <w:lang w:val="en-US" w:eastAsia="zh-CN" w:bidi="ar"/>
              </w:rPr>
              <w:t>9</w:t>
            </w:r>
          </w:p>
        </w:tc>
        <w:tc>
          <w:tcPr>
            <w:tcW w:w="2089" w:type="dxa"/>
            <w:vAlign w:val="center"/>
          </w:tcPr>
          <w:p>
            <w:pPr>
              <w:spacing w:line="300" w:lineRule="auto"/>
              <w:rPr>
                <w:rFonts w:ascii="宋体" w:hAnsi="宋体"/>
              </w:rPr>
            </w:pPr>
            <w:r>
              <w:rPr>
                <w:rFonts w:hint="eastAsia" w:ascii="宋体" w:hAnsi="宋体"/>
              </w:rPr>
              <w:t>质量目标</w:t>
            </w:r>
          </w:p>
        </w:tc>
        <w:tc>
          <w:tcPr>
            <w:tcW w:w="5648" w:type="dxa"/>
            <w:vAlign w:val="center"/>
          </w:tcPr>
          <w:p>
            <w:pPr>
              <w:spacing w:line="200" w:lineRule="atLeast"/>
              <w:rPr>
                <w:rFonts w:ascii="宋体" w:hAnsi="宋体"/>
                <w:szCs w:val="21"/>
              </w:rPr>
            </w:pPr>
            <w:r>
              <w:rPr>
                <w:rFonts w:hint="eastAsia" w:ascii="宋体" w:hAnsi="宋体"/>
                <w:szCs w:val="21"/>
              </w:rPr>
              <w:t>符合国家、行业现行规范标准规定。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10</w:t>
            </w:r>
          </w:p>
        </w:tc>
        <w:tc>
          <w:tcPr>
            <w:tcW w:w="2089" w:type="dxa"/>
            <w:vAlign w:val="center"/>
          </w:tcPr>
          <w:p>
            <w:pPr>
              <w:rPr>
                <w:rFonts w:ascii="宋体" w:hAnsi="宋体"/>
                <w:szCs w:val="21"/>
              </w:rPr>
            </w:pPr>
            <w:r>
              <w:rPr>
                <w:rFonts w:hint="eastAsia" w:ascii="宋体" w:hAnsi="宋体"/>
                <w:szCs w:val="21"/>
              </w:rPr>
              <w:t>投标人资质条件、能力和信誉</w:t>
            </w:r>
          </w:p>
        </w:tc>
        <w:tc>
          <w:tcPr>
            <w:tcW w:w="5648" w:type="dxa"/>
            <w:vAlign w:val="center"/>
          </w:tcPr>
          <w:p>
            <w:pPr>
              <w:spacing w:line="300" w:lineRule="auto"/>
              <w:jc w:val="left"/>
              <w:rPr>
                <w:rFonts w:ascii="宋体" w:hAnsi="宋体"/>
                <w:szCs w:val="21"/>
              </w:rPr>
            </w:pPr>
            <w:r>
              <w:rPr>
                <w:rFonts w:hint="eastAsia" w:ascii="宋体" w:hAnsi="宋体"/>
                <w:szCs w:val="21"/>
              </w:rPr>
              <w:t>详</w:t>
            </w:r>
            <w:r>
              <w:rPr>
                <w:rFonts w:hint="eastAsia" w:ascii="宋体" w:hAnsi="宋体" w:cs="宋体"/>
                <w:szCs w:val="21"/>
              </w:rPr>
              <w:t>见“第一章  招标公告中‘投标人资格条件’”，开标时投标人按招标公告要求携带资料原件，否则不能通过资格评审。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11</w:t>
            </w:r>
          </w:p>
        </w:tc>
        <w:tc>
          <w:tcPr>
            <w:tcW w:w="2089" w:type="dxa"/>
            <w:vAlign w:val="center"/>
          </w:tcPr>
          <w:p>
            <w:pPr>
              <w:rPr>
                <w:rFonts w:ascii="宋体" w:hAnsi="宋体"/>
                <w:szCs w:val="21"/>
              </w:rPr>
            </w:pPr>
            <w:r>
              <w:rPr>
                <w:rFonts w:hint="eastAsia" w:ascii="宋体" w:hAnsi="宋体"/>
                <w:szCs w:val="21"/>
              </w:rPr>
              <w:t>踏勘现场</w:t>
            </w:r>
          </w:p>
        </w:tc>
        <w:tc>
          <w:tcPr>
            <w:tcW w:w="5648" w:type="dxa"/>
            <w:vAlign w:val="center"/>
          </w:tcPr>
          <w:p>
            <w:pPr>
              <w:spacing w:line="300" w:lineRule="auto"/>
              <w:rPr>
                <w:rFonts w:ascii="宋体" w:hAnsi="宋体"/>
                <w:szCs w:val="21"/>
              </w:rPr>
            </w:pPr>
            <w:r>
              <w:rPr>
                <w:rFonts w:hint="eastAsia" w:ascii="宋体" w:hAnsi="宋体"/>
                <w:szCs w:val="21"/>
              </w:rPr>
              <w:t>不组织，投标人自行踏勘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12</w:t>
            </w:r>
          </w:p>
        </w:tc>
        <w:tc>
          <w:tcPr>
            <w:tcW w:w="2089" w:type="dxa"/>
            <w:vAlign w:val="center"/>
          </w:tcPr>
          <w:p>
            <w:pPr>
              <w:rPr>
                <w:rFonts w:ascii="宋体" w:hAnsi="宋体"/>
                <w:szCs w:val="21"/>
              </w:rPr>
            </w:pPr>
            <w:r>
              <w:rPr>
                <w:rFonts w:hint="eastAsia" w:ascii="宋体" w:hAnsi="宋体"/>
                <w:szCs w:val="21"/>
              </w:rPr>
              <w:t>投标预备会</w:t>
            </w:r>
          </w:p>
        </w:tc>
        <w:tc>
          <w:tcPr>
            <w:tcW w:w="5648" w:type="dxa"/>
            <w:vAlign w:val="center"/>
          </w:tcPr>
          <w:p>
            <w:pPr>
              <w:spacing w:line="300" w:lineRule="auto"/>
              <w:rPr>
                <w:rFonts w:ascii="宋体" w:hAnsi="宋体"/>
                <w:szCs w:val="21"/>
              </w:rPr>
            </w:pPr>
            <w:r>
              <w:rPr>
                <w:rFonts w:hint="eastAsia" w:ascii="宋体" w:hAnsi="宋体"/>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13</w:t>
            </w:r>
          </w:p>
        </w:tc>
        <w:tc>
          <w:tcPr>
            <w:tcW w:w="2089" w:type="dxa"/>
            <w:vAlign w:val="center"/>
          </w:tcPr>
          <w:p>
            <w:pPr>
              <w:spacing w:line="300" w:lineRule="auto"/>
              <w:jc w:val="left"/>
              <w:rPr>
                <w:rFonts w:ascii="宋体" w:hAnsi="宋体"/>
                <w:color w:val="FF0000"/>
                <w:szCs w:val="21"/>
              </w:rPr>
            </w:pPr>
            <w:r>
              <w:rPr>
                <w:rFonts w:hint="eastAsia" w:ascii="宋体" w:hAnsi="宋体"/>
                <w:szCs w:val="21"/>
              </w:rPr>
              <w:t>招标疑问提交时间和疑问答复时间</w:t>
            </w:r>
          </w:p>
        </w:tc>
        <w:tc>
          <w:tcPr>
            <w:tcW w:w="5648" w:type="dxa"/>
            <w:vAlign w:val="center"/>
          </w:tcPr>
          <w:p>
            <w:pPr>
              <w:spacing w:line="300" w:lineRule="auto"/>
              <w:jc w:val="left"/>
              <w:rPr>
                <w:rFonts w:ascii="宋体" w:hAnsi="宋体"/>
                <w:color w:val="FF0000"/>
                <w:szCs w:val="21"/>
              </w:rPr>
            </w:pPr>
            <w:r>
              <w:rPr>
                <w:rFonts w:hint="eastAsia" w:ascii="宋体" w:hAnsi="宋体"/>
                <w:szCs w:val="21"/>
              </w:rPr>
              <w:t>任何要求澄清招标文件的投标人均应在2022年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4</w:t>
            </w:r>
            <w:r>
              <w:rPr>
                <w:rFonts w:hint="eastAsia" w:ascii="宋体" w:hAnsi="宋体"/>
                <w:szCs w:val="21"/>
              </w:rPr>
              <w:t xml:space="preserve">日上午11:00之前以不署名的电子邮件形式发送至安徽相王医疗健康股份有限公司办公室邮箱 </w:t>
            </w:r>
            <w:r>
              <w:fldChar w:fldCharType="begin"/>
            </w:r>
            <w:r>
              <w:instrText xml:space="preserve"> HYPERLINK "mailto:2295829959@QQ.com，招标单位在2021年" </w:instrText>
            </w:r>
            <w:r>
              <w:fldChar w:fldCharType="separate"/>
            </w:r>
            <w:r>
              <w:rPr>
                <w:rFonts w:hint="eastAsia" w:ascii="宋体" w:hAnsi="宋体"/>
                <w:szCs w:val="21"/>
              </w:rPr>
              <w:t>xwjkzbcg@126.com，招标单位在2022年</w:t>
            </w:r>
            <w:r>
              <w:rPr>
                <w:rFonts w:hint="eastAsia" w:ascii="宋体" w:hAnsi="宋体"/>
                <w:szCs w:val="21"/>
              </w:rPr>
              <w:fldChar w:fldCharType="end"/>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4</w:t>
            </w:r>
            <w:r>
              <w:rPr>
                <w:rFonts w:hint="eastAsia" w:ascii="宋体" w:hAnsi="宋体"/>
                <w:szCs w:val="21"/>
              </w:rPr>
              <w:t>日下午5:00前在</w:t>
            </w:r>
            <w:r>
              <w:rPr>
                <w:rFonts w:hint="eastAsia" w:ascii="宋体" w:hAnsi="宋体" w:cs="宋体"/>
                <w:szCs w:val="21"/>
              </w:rPr>
              <w:t>安徽</w:t>
            </w:r>
            <w:r>
              <w:rPr>
                <w:rFonts w:hint="eastAsia" w:ascii="宋体" w:hAnsi="宋体" w:cs="宋体"/>
                <w:szCs w:val="21"/>
                <w:lang w:eastAsia="zh-CN"/>
              </w:rPr>
              <w:t>省</w:t>
            </w:r>
            <w:r>
              <w:rPr>
                <w:rFonts w:hint="eastAsia" w:ascii="宋体" w:hAnsi="宋体" w:cs="宋体"/>
                <w:szCs w:val="21"/>
              </w:rPr>
              <w:t>招</w:t>
            </w:r>
            <w:r>
              <w:rPr>
                <w:rFonts w:hint="eastAsia" w:ascii="宋体" w:hAnsi="宋体" w:cs="宋体"/>
                <w:szCs w:val="21"/>
                <w:lang w:eastAsia="zh-CN"/>
              </w:rPr>
              <w:t>标</w:t>
            </w:r>
            <w:r>
              <w:rPr>
                <w:rFonts w:hint="eastAsia" w:ascii="宋体" w:hAnsi="宋体" w:cs="宋体"/>
                <w:szCs w:val="21"/>
              </w:rPr>
              <w:t>投标信</w:t>
            </w:r>
            <w:r>
              <w:rPr>
                <w:rFonts w:hint="eastAsia" w:ascii="宋体" w:hAnsi="宋体"/>
                <w:szCs w:val="21"/>
              </w:rPr>
              <w:t>息网</w:t>
            </w:r>
            <w:r>
              <w:rPr>
                <w:rFonts w:hint="eastAsia" w:ascii="宋体" w:hAnsi="宋体"/>
                <w:szCs w:val="21"/>
                <w:lang w:eastAsia="zh-CN"/>
              </w:rPr>
              <w:t>、</w:t>
            </w:r>
            <w:r>
              <w:rPr>
                <w:rFonts w:hint="eastAsia" w:ascii="宋体" w:hAnsi="宋体"/>
                <w:szCs w:val="21"/>
              </w:rPr>
              <w:t>安徽皖北康复医院网站统一公告答疑。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14</w:t>
            </w:r>
          </w:p>
        </w:tc>
        <w:tc>
          <w:tcPr>
            <w:tcW w:w="2089" w:type="dxa"/>
            <w:vAlign w:val="center"/>
          </w:tcPr>
          <w:p>
            <w:pPr>
              <w:rPr>
                <w:rFonts w:ascii="宋体" w:hAnsi="宋体"/>
                <w:szCs w:val="21"/>
              </w:rPr>
            </w:pPr>
            <w:r>
              <w:rPr>
                <w:rFonts w:hint="eastAsia" w:ascii="宋体" w:hAnsi="宋体"/>
                <w:szCs w:val="21"/>
              </w:rPr>
              <w:t>投标截止时间</w:t>
            </w:r>
          </w:p>
        </w:tc>
        <w:tc>
          <w:tcPr>
            <w:tcW w:w="5648" w:type="dxa"/>
            <w:vAlign w:val="center"/>
          </w:tcPr>
          <w:p>
            <w:pPr>
              <w:spacing w:line="300" w:lineRule="auto"/>
              <w:rPr>
                <w:rFonts w:ascii="宋体" w:hAnsi="宋体"/>
                <w:szCs w:val="21"/>
              </w:rPr>
            </w:pPr>
            <w:r>
              <w:rPr>
                <w:rFonts w:hint="eastAsia" w:ascii="宋体" w:hAnsi="宋体"/>
                <w:szCs w:val="21"/>
                <w:u w:val="single"/>
              </w:rPr>
              <w:t>2022</w:t>
            </w:r>
            <w:r>
              <w:rPr>
                <w:rFonts w:hint="eastAsia" w:ascii="宋体" w:hAnsi="宋体"/>
                <w:szCs w:val="21"/>
              </w:rPr>
              <w:t>年</w:t>
            </w:r>
            <w:r>
              <w:rPr>
                <w:rFonts w:hint="eastAsia" w:ascii="宋体" w:hAnsi="宋体"/>
                <w:szCs w:val="21"/>
                <w:u w:val="single"/>
                <w:lang w:val="en-US" w:eastAsia="zh-CN"/>
              </w:rPr>
              <w:t>11</w:t>
            </w:r>
            <w:r>
              <w:rPr>
                <w:rFonts w:hint="eastAsia" w:ascii="宋体" w:hAnsi="宋体"/>
                <w:szCs w:val="21"/>
                <w:u w:val="single"/>
              </w:rPr>
              <w:t>月</w:t>
            </w:r>
            <w:r>
              <w:rPr>
                <w:rFonts w:hint="eastAsia" w:ascii="宋体" w:hAnsi="宋体"/>
                <w:szCs w:val="21"/>
                <w:u w:val="single"/>
                <w:lang w:val="en-US" w:eastAsia="zh-CN"/>
              </w:rPr>
              <w:t>9</w:t>
            </w:r>
            <w:r>
              <w:rPr>
                <w:rFonts w:hint="eastAsia" w:ascii="宋体" w:hAnsi="宋体"/>
                <w:szCs w:val="21"/>
                <w:u w:val="single"/>
              </w:rPr>
              <w:t>日</w:t>
            </w:r>
            <w:r>
              <w:rPr>
                <w:rFonts w:hint="eastAsia" w:ascii="宋体" w:hAnsi="宋体"/>
                <w:szCs w:val="21"/>
              </w:rPr>
              <w:t>上午</w:t>
            </w:r>
            <w:r>
              <w:rPr>
                <w:rFonts w:hint="eastAsia" w:ascii="宋体" w:hAnsi="宋体"/>
                <w:szCs w:val="21"/>
                <w:u w:val="single"/>
              </w:rPr>
              <w:t>9：00</w:t>
            </w:r>
            <w:r>
              <w:rPr>
                <w:rFonts w:hint="eastAsia" w:ascii="宋体" w:hAnsi="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15</w:t>
            </w:r>
          </w:p>
        </w:tc>
        <w:tc>
          <w:tcPr>
            <w:tcW w:w="2089" w:type="dxa"/>
            <w:vAlign w:val="center"/>
          </w:tcPr>
          <w:p>
            <w:pPr>
              <w:rPr>
                <w:rFonts w:ascii="宋体" w:hAnsi="宋体"/>
                <w:szCs w:val="21"/>
              </w:rPr>
            </w:pPr>
            <w:r>
              <w:rPr>
                <w:rFonts w:hint="eastAsia" w:ascii="宋体" w:hAnsi="宋体"/>
                <w:szCs w:val="21"/>
              </w:rPr>
              <w:t>投标有效期</w:t>
            </w:r>
          </w:p>
        </w:tc>
        <w:tc>
          <w:tcPr>
            <w:tcW w:w="5648" w:type="dxa"/>
            <w:vAlign w:val="center"/>
          </w:tcPr>
          <w:p>
            <w:pPr>
              <w:spacing w:line="300" w:lineRule="auto"/>
              <w:rPr>
                <w:rFonts w:ascii="宋体" w:hAnsi="宋体"/>
                <w:szCs w:val="21"/>
              </w:rPr>
            </w:pPr>
            <w:r>
              <w:rPr>
                <w:rFonts w:hint="eastAsia" w:ascii="宋体" w:hAnsi="宋体"/>
                <w:bCs/>
                <w:szCs w:val="21"/>
              </w:rPr>
              <w:t>90日历天（从投标截止之日算起）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16</w:t>
            </w:r>
          </w:p>
        </w:tc>
        <w:tc>
          <w:tcPr>
            <w:tcW w:w="2089" w:type="dxa"/>
            <w:vAlign w:val="center"/>
          </w:tcPr>
          <w:p>
            <w:pPr>
              <w:rPr>
                <w:rFonts w:ascii="宋体" w:hAnsi="宋体"/>
                <w:szCs w:val="21"/>
              </w:rPr>
            </w:pPr>
            <w:r>
              <w:rPr>
                <w:rFonts w:hint="eastAsia" w:ascii="宋体" w:hAnsi="宋体"/>
                <w:szCs w:val="21"/>
              </w:rPr>
              <w:t>投标保证金</w:t>
            </w:r>
          </w:p>
        </w:tc>
        <w:tc>
          <w:tcPr>
            <w:tcW w:w="5648" w:type="dxa"/>
            <w:vAlign w:val="center"/>
          </w:tcPr>
          <w:p>
            <w:pPr>
              <w:adjustRightInd w:val="0"/>
              <w:snapToGrid w:val="0"/>
              <w:spacing w:line="400" w:lineRule="exact"/>
              <w:jc w:val="left"/>
              <w:rPr>
                <w:rFonts w:ascii="宋体" w:hAnsi="宋体"/>
                <w:szCs w:val="21"/>
                <w:highlight w:val="none"/>
              </w:rPr>
            </w:pPr>
            <w:r>
              <w:rPr>
                <w:rFonts w:hint="eastAsia" w:ascii="宋体" w:hAnsi="宋体"/>
                <w:szCs w:val="21"/>
              </w:rPr>
              <w:t>投标</w:t>
            </w:r>
            <w:r>
              <w:rPr>
                <w:rFonts w:hint="eastAsia" w:ascii="宋体" w:hAnsi="宋体"/>
                <w:szCs w:val="21"/>
                <w:highlight w:val="none"/>
              </w:rPr>
              <w:t>保证金</w:t>
            </w:r>
            <w:r>
              <w:rPr>
                <w:rFonts w:hint="eastAsia" w:ascii="宋体" w:hAnsi="宋体"/>
                <w:szCs w:val="21"/>
                <w:highlight w:val="none"/>
                <w:lang w:val="en-US" w:eastAsia="zh-CN"/>
              </w:rPr>
              <w:t>1.2万</w:t>
            </w:r>
            <w:r>
              <w:rPr>
                <w:rFonts w:hint="eastAsia" w:ascii="宋体" w:hAnsi="宋体"/>
                <w:szCs w:val="21"/>
                <w:highlight w:val="none"/>
              </w:rPr>
              <w:t>元。投标保证金必须由投标人基本账户汇出。投标保证金必须在投标截止时间前足额到达指定账号。</w:t>
            </w:r>
          </w:p>
          <w:p>
            <w:pPr>
              <w:adjustRightInd w:val="0"/>
              <w:snapToGrid w:val="0"/>
              <w:spacing w:line="400" w:lineRule="exact"/>
              <w:jc w:val="left"/>
              <w:rPr>
                <w:rFonts w:ascii="宋体" w:hAnsi="宋体"/>
                <w:szCs w:val="21"/>
              </w:rPr>
            </w:pPr>
            <w:r>
              <w:rPr>
                <w:rFonts w:hint="eastAsia" w:ascii="宋体" w:hAnsi="宋体"/>
                <w:szCs w:val="21"/>
                <w:highlight w:val="none"/>
              </w:rPr>
              <w:t>评标结束后，拟中标单位投标保证金由招标人留置，</w:t>
            </w:r>
            <w:r>
              <w:rPr>
                <w:rFonts w:hint="eastAsia" w:ascii="宋体" w:hAnsi="宋体"/>
                <w:szCs w:val="21"/>
                <w:highlight w:val="none"/>
                <w:lang w:eastAsia="zh-CN"/>
              </w:rPr>
              <w:t>系统最终验收通过后一周内无息退还</w:t>
            </w:r>
            <w:r>
              <w:rPr>
                <w:rFonts w:hint="eastAsia" w:ascii="宋体" w:hAnsi="宋体"/>
                <w:szCs w:val="21"/>
                <w:highlight w:val="none"/>
              </w:rPr>
              <w:t>。其他</w:t>
            </w:r>
            <w:r>
              <w:rPr>
                <w:rFonts w:hint="eastAsia" w:ascii="宋体" w:hAnsi="宋体"/>
                <w:szCs w:val="21"/>
              </w:rPr>
              <w:t>单位的投标保证金按照招标人财务流程在次月15号后一周内无息退还。投标保证金银行回执开标前交于投标人审核。</w:t>
            </w:r>
          </w:p>
          <w:p>
            <w:pPr>
              <w:adjustRightInd w:val="0"/>
              <w:snapToGrid w:val="0"/>
              <w:spacing w:line="400" w:lineRule="exact"/>
              <w:jc w:val="left"/>
              <w:rPr>
                <w:rFonts w:ascii="宋体" w:hAnsi="宋体"/>
                <w:szCs w:val="21"/>
              </w:rPr>
            </w:pPr>
            <w:r>
              <w:rPr>
                <w:rFonts w:hint="eastAsia" w:ascii="宋体" w:hAnsi="宋体"/>
                <w:szCs w:val="21"/>
              </w:rPr>
              <w:t>投标保证金请汇至：</w:t>
            </w:r>
          </w:p>
          <w:p>
            <w:pPr>
              <w:snapToGrid w:val="0"/>
              <w:spacing w:line="360" w:lineRule="auto"/>
              <w:jc w:val="left"/>
              <w:rPr>
                <w:rFonts w:ascii="宋体" w:hAnsi="宋体"/>
                <w:szCs w:val="21"/>
              </w:rPr>
            </w:pPr>
            <w:r>
              <w:rPr>
                <w:rFonts w:hint="eastAsia" w:ascii="宋体" w:hAnsi="宋体"/>
                <w:szCs w:val="21"/>
              </w:rPr>
              <w:t>名称：安徽皖北康复医院</w:t>
            </w:r>
          </w:p>
          <w:p>
            <w:pPr>
              <w:snapToGrid w:val="0"/>
              <w:spacing w:line="360" w:lineRule="auto"/>
              <w:jc w:val="left"/>
              <w:rPr>
                <w:rFonts w:ascii="宋体" w:hAnsi="宋体"/>
                <w:szCs w:val="21"/>
              </w:rPr>
            </w:pPr>
            <w:r>
              <w:rPr>
                <w:rFonts w:hint="eastAsia" w:ascii="宋体" w:hAnsi="宋体"/>
                <w:szCs w:val="21"/>
              </w:rPr>
              <w:t>开户行：中国工商银行股份有限公司淮北人民东路支行</w:t>
            </w:r>
          </w:p>
          <w:p>
            <w:pPr>
              <w:snapToGrid w:val="0"/>
              <w:spacing w:line="360" w:lineRule="auto"/>
              <w:jc w:val="left"/>
              <w:rPr>
                <w:rFonts w:ascii="宋体" w:hAnsi="宋体"/>
                <w:szCs w:val="21"/>
              </w:rPr>
            </w:pPr>
            <w:r>
              <w:rPr>
                <w:rFonts w:hint="eastAsia" w:ascii="宋体" w:hAnsi="宋体"/>
                <w:szCs w:val="21"/>
              </w:rPr>
              <w:t>账号：9558851305000010232         </w:t>
            </w:r>
          </w:p>
          <w:p>
            <w:pPr>
              <w:pStyle w:val="18"/>
              <w:widowControl/>
              <w:snapToGrid w:val="0"/>
              <w:spacing w:line="400" w:lineRule="exact"/>
              <w:rPr>
                <w:rFonts w:ascii="宋体" w:hAnsi="宋体"/>
                <w:szCs w:val="21"/>
              </w:rPr>
            </w:pPr>
            <w:r>
              <w:rPr>
                <w:rFonts w:hint="eastAsia" w:ascii="宋体" w:hAnsi="宋体"/>
                <w:szCs w:val="21"/>
              </w:rPr>
              <w:t>投标人在投标有效期内撤回投标文件、及投标人中标后不愿签订合同，其投标保证金不予退还。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17</w:t>
            </w:r>
          </w:p>
        </w:tc>
        <w:tc>
          <w:tcPr>
            <w:tcW w:w="2089" w:type="dxa"/>
            <w:vAlign w:val="center"/>
          </w:tcPr>
          <w:p>
            <w:pPr>
              <w:rPr>
                <w:rFonts w:ascii="宋体" w:hAnsi="宋体"/>
                <w:szCs w:val="21"/>
              </w:rPr>
            </w:pPr>
            <w:r>
              <w:rPr>
                <w:rFonts w:hint="eastAsia" w:ascii="宋体" w:hAnsi="宋体"/>
                <w:szCs w:val="21"/>
              </w:rPr>
              <w:t>投标文件副本份数</w:t>
            </w:r>
          </w:p>
        </w:tc>
        <w:tc>
          <w:tcPr>
            <w:tcW w:w="5648" w:type="dxa"/>
            <w:vAlign w:val="center"/>
          </w:tcPr>
          <w:p>
            <w:pPr>
              <w:spacing w:line="300" w:lineRule="auto"/>
              <w:rPr>
                <w:rFonts w:ascii="宋体" w:hAnsi="宋体"/>
                <w:szCs w:val="21"/>
              </w:rPr>
            </w:pPr>
            <w:r>
              <w:rPr>
                <w:rFonts w:hint="eastAsia" w:ascii="宋体" w:hAnsi="宋体"/>
                <w:szCs w:val="21"/>
              </w:rPr>
              <w:t>一份正本，四份副本，电子版（U盘）一份。标书分为资格标和商务标，分开装订，分别用文件袋密封。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18</w:t>
            </w:r>
          </w:p>
        </w:tc>
        <w:tc>
          <w:tcPr>
            <w:tcW w:w="2089" w:type="dxa"/>
            <w:vAlign w:val="center"/>
          </w:tcPr>
          <w:p>
            <w:pPr>
              <w:rPr>
                <w:rFonts w:ascii="宋体" w:hAnsi="宋体"/>
                <w:szCs w:val="21"/>
              </w:rPr>
            </w:pPr>
            <w:r>
              <w:rPr>
                <w:rFonts w:hint="eastAsia" w:ascii="宋体" w:hAnsi="宋体"/>
                <w:szCs w:val="21"/>
              </w:rPr>
              <w:t>装订要求</w:t>
            </w:r>
          </w:p>
        </w:tc>
        <w:tc>
          <w:tcPr>
            <w:tcW w:w="5648" w:type="dxa"/>
            <w:vAlign w:val="center"/>
          </w:tcPr>
          <w:p>
            <w:pPr>
              <w:spacing w:line="300" w:lineRule="auto"/>
              <w:rPr>
                <w:rFonts w:ascii="宋体" w:hAnsi="宋体"/>
                <w:szCs w:val="21"/>
              </w:rPr>
            </w:pPr>
            <w:r>
              <w:rPr>
                <w:rFonts w:hint="eastAsia" w:ascii="宋体" w:hAnsi="宋体"/>
                <w:szCs w:val="21"/>
              </w:rPr>
              <w:t>按照投标人须知第  项规定的投标文件组成内容，投标文件应按以下要求装订：</w:t>
            </w:r>
          </w:p>
          <w:p>
            <w:pPr>
              <w:spacing w:line="300" w:lineRule="auto"/>
              <w:rPr>
                <w:rFonts w:ascii="宋体" w:hAnsi="宋体"/>
                <w:szCs w:val="21"/>
              </w:rPr>
            </w:pPr>
            <w:r>
              <w:rPr>
                <w:rFonts w:hint="eastAsia" w:ascii="宋体" w:hAnsi="宋体"/>
                <w:szCs w:val="21"/>
              </w:rPr>
              <w:t>逐页编码，目录对应页码，采用胶装方式装订（文件厚度超过3cm后可以分册装订）,装订应牢固、不易拆散和换页，不得采用活页装订。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19</w:t>
            </w:r>
          </w:p>
        </w:tc>
        <w:tc>
          <w:tcPr>
            <w:tcW w:w="2089" w:type="dxa"/>
            <w:vAlign w:val="center"/>
          </w:tcPr>
          <w:p>
            <w:pPr>
              <w:rPr>
                <w:rFonts w:ascii="宋体" w:hAnsi="宋体"/>
                <w:szCs w:val="21"/>
              </w:rPr>
            </w:pPr>
            <w:r>
              <w:rPr>
                <w:rFonts w:hint="eastAsia" w:ascii="宋体" w:hAnsi="宋体"/>
                <w:szCs w:val="21"/>
              </w:rPr>
              <w:t>封套上写明</w:t>
            </w:r>
          </w:p>
        </w:tc>
        <w:tc>
          <w:tcPr>
            <w:tcW w:w="5648" w:type="dxa"/>
            <w:vAlign w:val="center"/>
          </w:tcPr>
          <w:p>
            <w:pPr>
              <w:spacing w:line="300" w:lineRule="auto"/>
              <w:rPr>
                <w:rFonts w:ascii="宋体" w:hAnsi="宋体"/>
                <w:szCs w:val="21"/>
              </w:rPr>
            </w:pPr>
            <w:r>
              <w:rPr>
                <w:rFonts w:hint="eastAsia" w:ascii="宋体" w:hAnsi="宋体"/>
                <w:szCs w:val="21"/>
              </w:rPr>
              <w:t>1.纸质版投标文件的套封上应写明：</w:t>
            </w:r>
          </w:p>
          <w:p>
            <w:pPr>
              <w:spacing w:line="300" w:lineRule="auto"/>
              <w:rPr>
                <w:rFonts w:ascii="宋体" w:hAnsi="宋体"/>
                <w:szCs w:val="21"/>
              </w:rPr>
            </w:pPr>
            <w:r>
              <w:rPr>
                <w:rFonts w:hint="eastAsia" w:ascii="宋体" w:hAnsi="宋体"/>
                <w:szCs w:val="21"/>
              </w:rPr>
              <w:t xml:space="preserve">招标人名称：                      </w:t>
            </w:r>
          </w:p>
          <w:p>
            <w:pPr>
              <w:spacing w:line="300" w:lineRule="auto"/>
              <w:rPr>
                <w:rFonts w:ascii="宋体" w:hAnsi="宋体"/>
                <w:szCs w:val="21"/>
              </w:rPr>
            </w:pPr>
            <w:r>
              <w:rPr>
                <w:rFonts w:hint="eastAsia" w:ascii="宋体" w:hAnsi="宋体"/>
                <w:szCs w:val="21"/>
              </w:rPr>
              <w:t xml:space="preserve">招标人地址：                      </w:t>
            </w:r>
          </w:p>
          <w:p>
            <w:pPr>
              <w:spacing w:line="300" w:lineRule="auto"/>
              <w:rPr>
                <w:rFonts w:ascii="宋体" w:hAnsi="宋体"/>
                <w:szCs w:val="21"/>
              </w:rPr>
            </w:pPr>
            <w:r>
              <w:rPr>
                <w:rFonts w:hint="eastAsia" w:ascii="宋体" w:hAnsi="宋体"/>
                <w:szCs w:val="21"/>
              </w:rPr>
              <w:t xml:space="preserve">        （项目名称）       投标文件</w:t>
            </w:r>
          </w:p>
          <w:p>
            <w:pPr>
              <w:spacing w:line="300" w:lineRule="auto"/>
              <w:rPr>
                <w:rFonts w:ascii="宋体" w:hAnsi="宋体"/>
                <w:szCs w:val="21"/>
              </w:rPr>
            </w:pPr>
            <w:r>
              <w:rPr>
                <w:rFonts w:hint="eastAsia" w:ascii="宋体" w:hAnsi="宋体"/>
                <w:szCs w:val="21"/>
              </w:rPr>
              <w:t xml:space="preserve">投标人名称：                      </w:t>
            </w:r>
          </w:p>
          <w:p>
            <w:pPr>
              <w:spacing w:line="300" w:lineRule="auto"/>
              <w:rPr>
                <w:rFonts w:ascii="宋体" w:hAnsi="宋体"/>
                <w:szCs w:val="21"/>
              </w:rPr>
            </w:pPr>
            <w:r>
              <w:rPr>
                <w:rFonts w:hint="eastAsia" w:ascii="宋体" w:hAnsi="宋体"/>
                <w:szCs w:val="21"/>
              </w:rPr>
              <w:t xml:space="preserve">投标人地址：                      </w:t>
            </w:r>
          </w:p>
          <w:p>
            <w:pPr>
              <w:spacing w:line="300" w:lineRule="auto"/>
              <w:rPr>
                <w:rFonts w:ascii="宋体" w:hAnsi="宋体"/>
                <w:szCs w:val="21"/>
              </w:rPr>
            </w:pPr>
            <w:r>
              <w:rPr>
                <w:rFonts w:hint="eastAsia" w:ascii="宋体" w:hAnsi="宋体"/>
                <w:szCs w:val="21"/>
              </w:rPr>
              <w:t>2. 电子版(U盘) 套封上应写明：</w:t>
            </w:r>
          </w:p>
          <w:p>
            <w:pPr>
              <w:spacing w:line="300" w:lineRule="auto"/>
              <w:rPr>
                <w:rFonts w:ascii="宋体" w:hAnsi="宋体"/>
                <w:szCs w:val="21"/>
              </w:rPr>
            </w:pPr>
            <w:r>
              <w:rPr>
                <w:rFonts w:hint="eastAsia" w:ascii="宋体" w:hAnsi="宋体"/>
                <w:szCs w:val="21"/>
              </w:rPr>
              <w:t xml:space="preserve">招标人名称：                                  </w:t>
            </w:r>
          </w:p>
          <w:p>
            <w:pPr>
              <w:spacing w:line="300" w:lineRule="auto"/>
              <w:rPr>
                <w:rFonts w:ascii="宋体" w:hAnsi="宋体"/>
                <w:szCs w:val="21"/>
              </w:rPr>
            </w:pPr>
            <w:r>
              <w:rPr>
                <w:rFonts w:hint="eastAsia" w:ascii="宋体" w:hAnsi="宋体"/>
                <w:szCs w:val="21"/>
              </w:rPr>
              <w:t xml:space="preserve">        （项目名称）     电子版投标文</w:t>
            </w:r>
          </w:p>
          <w:p>
            <w:pPr>
              <w:spacing w:line="300" w:lineRule="auto"/>
              <w:rPr>
                <w:rFonts w:ascii="宋体" w:hAnsi="宋体"/>
                <w:szCs w:val="21"/>
              </w:rPr>
            </w:pPr>
            <w:r>
              <w:rPr>
                <w:rFonts w:hint="eastAsia" w:ascii="宋体" w:hAnsi="宋体"/>
                <w:szCs w:val="21"/>
              </w:rPr>
              <w:t xml:space="preserve">投标人名称：                                  </w:t>
            </w:r>
          </w:p>
          <w:p>
            <w:pPr>
              <w:spacing w:line="300" w:lineRule="auto"/>
              <w:rPr>
                <w:rFonts w:ascii="宋体" w:hAnsi="宋体"/>
                <w:szCs w:val="21"/>
              </w:rPr>
            </w:pPr>
            <w:r>
              <w:rPr>
                <w:rFonts w:hint="eastAsia" w:ascii="宋体" w:hAnsi="宋体"/>
                <w:szCs w:val="21"/>
              </w:rPr>
              <w:t xml:space="preserve">投标人地址：                                 </w:t>
            </w:r>
          </w:p>
          <w:p>
            <w:pPr>
              <w:spacing w:line="300" w:lineRule="auto"/>
              <w:rPr>
                <w:rFonts w:ascii="宋体" w:hAnsi="宋体"/>
                <w:szCs w:val="21"/>
              </w:rPr>
            </w:pPr>
            <w:r>
              <w:rPr>
                <w:rFonts w:hint="eastAsia" w:ascii="宋体" w:hAnsi="宋体"/>
                <w:szCs w:val="21"/>
              </w:rPr>
              <w:t>在投标截止时间前不得开启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20</w:t>
            </w:r>
          </w:p>
        </w:tc>
        <w:tc>
          <w:tcPr>
            <w:tcW w:w="2089" w:type="dxa"/>
            <w:vAlign w:val="center"/>
          </w:tcPr>
          <w:p>
            <w:pPr>
              <w:rPr>
                <w:rFonts w:ascii="宋体" w:hAnsi="宋体"/>
                <w:szCs w:val="21"/>
              </w:rPr>
            </w:pPr>
            <w:r>
              <w:rPr>
                <w:rFonts w:hint="eastAsia" w:ascii="宋体" w:hAnsi="宋体"/>
                <w:szCs w:val="21"/>
              </w:rPr>
              <w:t>开标时间和地点</w:t>
            </w:r>
          </w:p>
        </w:tc>
        <w:tc>
          <w:tcPr>
            <w:tcW w:w="5648" w:type="dxa"/>
            <w:vAlign w:val="center"/>
          </w:tcPr>
          <w:p>
            <w:pPr>
              <w:pStyle w:val="18"/>
              <w:widowControl/>
              <w:snapToGrid w:val="0"/>
              <w:spacing w:line="400" w:lineRule="exact"/>
              <w:rPr>
                <w:rFonts w:ascii="宋体" w:hAnsi="宋体"/>
                <w:szCs w:val="21"/>
              </w:rPr>
            </w:pPr>
            <w:r>
              <w:rPr>
                <w:rFonts w:hint="eastAsia" w:ascii="宋体" w:hAnsi="宋体"/>
                <w:szCs w:val="21"/>
              </w:rPr>
              <w:t>开标时间：2022年1</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9</w:t>
            </w:r>
            <w:r>
              <w:rPr>
                <w:rFonts w:hint="eastAsia" w:ascii="宋体" w:hAnsi="宋体"/>
                <w:szCs w:val="21"/>
              </w:rPr>
              <w:t>日</w:t>
            </w:r>
            <w:r>
              <w:rPr>
                <w:rFonts w:hint="eastAsia" w:ascii="宋体" w:hAnsi="宋体"/>
                <w:szCs w:val="21"/>
                <w:lang w:eastAsia="zh-CN"/>
              </w:rPr>
              <w:t>上</w:t>
            </w:r>
            <w:r>
              <w:rPr>
                <w:rFonts w:hint="eastAsia" w:ascii="宋体" w:hAnsi="宋体"/>
                <w:szCs w:val="21"/>
              </w:rPr>
              <w:t>午</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0</w:t>
            </w:r>
            <w:r>
              <w:rPr>
                <w:rFonts w:hint="eastAsia" w:ascii="宋体" w:hAnsi="宋体"/>
                <w:szCs w:val="21"/>
              </w:rPr>
              <w:t>0(北京时间)</w:t>
            </w:r>
          </w:p>
          <w:p>
            <w:pPr>
              <w:spacing w:line="300" w:lineRule="auto"/>
              <w:rPr>
                <w:rFonts w:ascii="宋体" w:hAnsi="宋体"/>
                <w:szCs w:val="21"/>
              </w:rPr>
            </w:pPr>
            <w:r>
              <w:rPr>
                <w:rFonts w:hint="eastAsia" w:ascii="宋体" w:hAnsi="宋体"/>
                <w:szCs w:val="21"/>
              </w:rPr>
              <w:t>开标地点：安徽相王医疗健康股份有限公司七号楼二楼会议室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21</w:t>
            </w:r>
          </w:p>
        </w:tc>
        <w:tc>
          <w:tcPr>
            <w:tcW w:w="2089" w:type="dxa"/>
            <w:vAlign w:val="center"/>
          </w:tcPr>
          <w:p>
            <w:pPr>
              <w:rPr>
                <w:rFonts w:ascii="宋体" w:hAnsi="宋体"/>
                <w:szCs w:val="21"/>
              </w:rPr>
            </w:pPr>
            <w:r>
              <w:rPr>
                <w:rFonts w:hint="eastAsia" w:ascii="宋体" w:hAnsi="宋体"/>
                <w:szCs w:val="21"/>
              </w:rPr>
              <w:t>评标委员会的组建</w:t>
            </w:r>
          </w:p>
        </w:tc>
        <w:tc>
          <w:tcPr>
            <w:tcW w:w="5648" w:type="dxa"/>
            <w:vAlign w:val="center"/>
          </w:tcPr>
          <w:p>
            <w:pPr>
              <w:spacing w:line="300" w:lineRule="auto"/>
              <w:rPr>
                <w:rFonts w:ascii="宋体" w:hAnsi="宋体"/>
                <w:szCs w:val="21"/>
              </w:rPr>
            </w:pPr>
            <w:r>
              <w:rPr>
                <w:rFonts w:hint="eastAsia" w:ascii="宋体" w:hAnsi="宋体"/>
                <w:szCs w:val="21"/>
              </w:rPr>
              <w:t>评标委员会构成：5人或以上单数，由招标人依法组建。</w:t>
            </w:r>
          </w:p>
          <w:p>
            <w:pPr>
              <w:spacing w:line="300" w:lineRule="auto"/>
              <w:rPr>
                <w:rFonts w:ascii="宋体" w:hAnsi="宋体"/>
                <w:szCs w:val="21"/>
              </w:rPr>
            </w:pPr>
            <w:r>
              <w:rPr>
                <w:rFonts w:hint="eastAsia" w:ascii="宋体" w:hAnsi="宋体"/>
                <w:szCs w:val="21"/>
              </w:rPr>
              <w:t>评标专家确定方式：从专家库中随机抽取。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22</w:t>
            </w:r>
          </w:p>
        </w:tc>
        <w:tc>
          <w:tcPr>
            <w:tcW w:w="2089" w:type="dxa"/>
            <w:vAlign w:val="center"/>
          </w:tcPr>
          <w:p>
            <w:pPr>
              <w:rPr>
                <w:rFonts w:ascii="宋体" w:hAnsi="宋体"/>
                <w:szCs w:val="21"/>
              </w:rPr>
            </w:pPr>
            <w:r>
              <w:rPr>
                <w:rFonts w:hint="eastAsia" w:ascii="宋体" w:hAnsi="宋体"/>
                <w:szCs w:val="21"/>
              </w:rPr>
              <w:t>是否授权评标委员会确定中标人</w:t>
            </w:r>
          </w:p>
        </w:tc>
        <w:tc>
          <w:tcPr>
            <w:tcW w:w="5648" w:type="dxa"/>
            <w:vAlign w:val="center"/>
          </w:tcPr>
          <w:p>
            <w:pPr>
              <w:spacing w:line="300" w:lineRule="auto"/>
              <w:rPr>
                <w:rFonts w:ascii="宋体" w:hAnsi="宋体"/>
                <w:szCs w:val="21"/>
              </w:rPr>
            </w:pPr>
            <w:r>
              <w:rPr>
                <w:rFonts w:ascii="宋体" w:hAnsi="宋体"/>
                <w:szCs w:val="21"/>
              </w:rPr>
              <w:t>否，</w:t>
            </w:r>
            <w:r>
              <w:rPr>
                <w:rFonts w:hint="eastAsia" w:ascii="宋体" w:hAnsi="宋体"/>
                <w:szCs w:val="21"/>
              </w:rPr>
              <w:t>由评标委员会根据综合评分的各项评分因素进行得分排名，推荐前两名为中标候选人，由招标人在中标候选人当中选择1家单位中标并授予合同。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23</w:t>
            </w:r>
          </w:p>
        </w:tc>
        <w:tc>
          <w:tcPr>
            <w:tcW w:w="2089" w:type="dxa"/>
            <w:vAlign w:val="center"/>
          </w:tcPr>
          <w:p>
            <w:pPr>
              <w:rPr>
                <w:rFonts w:hint="eastAsia" w:ascii="宋体" w:hAnsi="宋体"/>
                <w:szCs w:val="21"/>
              </w:rPr>
            </w:pPr>
            <w:r>
              <w:rPr>
                <w:rFonts w:hint="eastAsia" w:ascii="宋体" w:hAnsi="宋体"/>
                <w:szCs w:val="21"/>
              </w:rPr>
              <w:t>标段划分</w:t>
            </w:r>
            <w:r>
              <w:rPr>
                <w:rFonts w:hint="eastAsia" w:ascii="宋体" w:hAnsi="宋体"/>
                <w:szCs w:val="21"/>
              </w:rPr>
              <w:tab/>
            </w:r>
          </w:p>
        </w:tc>
        <w:tc>
          <w:tcPr>
            <w:tcW w:w="5648" w:type="dxa"/>
            <w:vAlign w:val="center"/>
          </w:tcPr>
          <w:p>
            <w:pPr>
              <w:snapToGrid w:val="0"/>
              <w:spacing w:line="360" w:lineRule="auto"/>
              <w:jc w:val="left"/>
              <w:rPr>
                <w:rFonts w:ascii="宋体" w:hAnsi="宋体"/>
                <w:szCs w:val="21"/>
              </w:rPr>
            </w:pPr>
            <w:r>
              <w:rPr>
                <w:rFonts w:hint="eastAsia" w:ascii="宋体" w:hAnsi="宋体"/>
                <w:szCs w:val="21"/>
              </w:rPr>
              <w:t>本项目一个标段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24</w:t>
            </w:r>
          </w:p>
        </w:tc>
        <w:tc>
          <w:tcPr>
            <w:tcW w:w="2089" w:type="dxa"/>
            <w:vAlign w:val="center"/>
          </w:tcPr>
          <w:p>
            <w:pPr>
              <w:rPr>
                <w:rFonts w:ascii="宋体" w:hAnsi="宋体"/>
                <w:szCs w:val="21"/>
              </w:rPr>
            </w:pPr>
            <w:r>
              <w:rPr>
                <w:rFonts w:hint="eastAsia" w:ascii="宋体" w:hAnsi="宋体"/>
                <w:szCs w:val="21"/>
              </w:rPr>
              <w:t>投标最高限价</w:t>
            </w:r>
          </w:p>
        </w:tc>
        <w:tc>
          <w:tcPr>
            <w:tcW w:w="5648" w:type="dxa"/>
            <w:vAlign w:val="center"/>
          </w:tcPr>
          <w:p>
            <w:pPr>
              <w:snapToGrid w:val="0"/>
              <w:spacing w:line="360" w:lineRule="auto"/>
              <w:ind w:left="-149"/>
              <w:rPr>
                <w:rFonts w:hint="eastAsia" w:ascii="宋体" w:hAnsi="宋体" w:eastAsia="宋体"/>
                <w:color w:val="FF0000"/>
                <w:szCs w:val="21"/>
                <w:highlight w:val="none"/>
                <w:lang w:eastAsia="zh-CN"/>
              </w:rPr>
            </w:pPr>
            <w:r>
              <w:rPr>
                <w:rFonts w:hint="eastAsia" w:ascii="宋体" w:hAnsi="宋体"/>
                <w:szCs w:val="21"/>
              </w:rPr>
              <w:t>本项目的投标最高限价：</w:t>
            </w:r>
            <w:r>
              <w:rPr>
                <w:rFonts w:hint="eastAsia" w:ascii="宋体" w:hAnsi="宋体"/>
                <w:color w:val="FF0000"/>
                <w:szCs w:val="21"/>
                <w:highlight w:val="none"/>
              </w:rPr>
              <w:t>人民币</w:t>
            </w:r>
            <w:r>
              <w:rPr>
                <w:rFonts w:hint="eastAsia" w:ascii="宋体" w:hAnsi="宋体"/>
                <w:color w:val="FF0000"/>
                <w:szCs w:val="21"/>
                <w:highlight w:val="none"/>
                <w:lang w:val="en-US" w:eastAsia="zh-CN"/>
              </w:rPr>
              <w:t>62</w:t>
            </w:r>
            <w:r>
              <w:rPr>
                <w:rFonts w:hint="eastAsia" w:ascii="宋体" w:hAnsi="宋体"/>
                <w:color w:val="FF0000"/>
                <w:szCs w:val="21"/>
                <w:highlight w:val="none"/>
              </w:rPr>
              <w:t>万元（</w:t>
            </w:r>
            <w:r>
              <w:rPr>
                <w:rFonts w:hint="eastAsia" w:ascii="宋体" w:hAnsi="宋体"/>
                <w:color w:val="FF0000"/>
                <w:szCs w:val="21"/>
                <w:highlight w:val="none"/>
                <w:lang w:eastAsia="zh-CN"/>
              </w:rPr>
              <w:t>陆拾贰万元整</w:t>
            </w:r>
            <w:r>
              <w:rPr>
                <w:rFonts w:hint="eastAsia" w:ascii="宋体" w:hAnsi="宋体"/>
                <w:color w:val="FF0000"/>
                <w:szCs w:val="21"/>
                <w:highlight w:val="none"/>
              </w:rPr>
              <w:t>）</w:t>
            </w:r>
            <w:r>
              <w:rPr>
                <w:rFonts w:hint="eastAsia" w:ascii="宋体" w:hAnsi="宋体"/>
                <w:color w:val="FF0000"/>
                <w:szCs w:val="21"/>
                <w:highlight w:val="none"/>
                <w:lang w:val="en-US" w:eastAsia="zh-CN"/>
              </w:rPr>
              <w:t>,</w:t>
            </w:r>
          </w:p>
          <w:p>
            <w:pPr>
              <w:snapToGrid w:val="0"/>
              <w:spacing w:line="360" w:lineRule="auto"/>
              <w:ind w:left="-149" w:firstLine="210" w:firstLineChars="100"/>
              <w:rPr>
                <w:rFonts w:hint="default" w:ascii="宋体" w:hAnsi="宋体" w:eastAsia="宋体"/>
                <w:color w:val="FF0000"/>
                <w:szCs w:val="21"/>
                <w:highlight w:val="none"/>
                <w:lang w:val="en-US" w:eastAsia="zh-CN"/>
              </w:rPr>
            </w:pPr>
            <w:r>
              <w:rPr>
                <w:rFonts w:hint="eastAsia" w:ascii="宋体" w:hAnsi="宋体"/>
                <w:color w:val="FF0000"/>
                <w:szCs w:val="21"/>
                <w:highlight w:val="none"/>
                <w:lang w:eastAsia="zh-CN"/>
              </w:rPr>
              <w:t>三年期后每年系统维护费小于等于年度合同金额的</w:t>
            </w:r>
            <w:r>
              <w:rPr>
                <w:rFonts w:hint="eastAsia" w:ascii="宋体" w:hAnsi="宋体"/>
                <w:color w:val="FF0000"/>
                <w:szCs w:val="21"/>
                <w:highlight w:val="none"/>
                <w:lang w:val="en-US" w:eastAsia="zh-CN"/>
              </w:rPr>
              <w:t>10%。</w:t>
            </w:r>
          </w:p>
          <w:p>
            <w:pPr>
              <w:spacing w:line="300" w:lineRule="auto"/>
              <w:rPr>
                <w:rFonts w:ascii="宋体" w:hAnsi="宋体"/>
                <w:szCs w:val="21"/>
              </w:rPr>
            </w:pPr>
            <w:r>
              <w:rPr>
                <w:rFonts w:hint="eastAsia" w:ascii="宋体" w:hAnsi="宋体"/>
                <w:szCs w:val="21"/>
              </w:rPr>
              <w:t>注：投标人报价均不能超过此最高限价，否则按无效投标处理。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25</w:t>
            </w:r>
          </w:p>
        </w:tc>
        <w:tc>
          <w:tcPr>
            <w:tcW w:w="2089" w:type="dxa"/>
            <w:vAlign w:val="center"/>
          </w:tcPr>
          <w:p>
            <w:pPr>
              <w:rPr>
                <w:rFonts w:ascii="宋体" w:hAnsi="宋体"/>
                <w:szCs w:val="21"/>
              </w:rPr>
            </w:pPr>
            <w:r>
              <w:rPr>
                <w:rFonts w:hint="eastAsia" w:ascii="宋体" w:hAnsi="宋体"/>
                <w:szCs w:val="21"/>
              </w:rPr>
              <w:t>评标办法</w:t>
            </w:r>
          </w:p>
        </w:tc>
        <w:tc>
          <w:tcPr>
            <w:tcW w:w="5648" w:type="dxa"/>
            <w:vAlign w:val="center"/>
          </w:tcPr>
          <w:p>
            <w:pPr>
              <w:spacing w:line="300" w:lineRule="auto"/>
              <w:rPr>
                <w:rFonts w:ascii="宋体" w:hAnsi="宋体"/>
                <w:szCs w:val="21"/>
              </w:rPr>
            </w:pPr>
            <w:r>
              <w:rPr>
                <w:rFonts w:hint="eastAsia" w:ascii="宋体" w:hAnsi="宋体"/>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26</w:t>
            </w:r>
          </w:p>
        </w:tc>
        <w:tc>
          <w:tcPr>
            <w:tcW w:w="2089" w:type="dxa"/>
          </w:tcPr>
          <w:p>
            <w:pPr>
              <w:rPr>
                <w:rFonts w:ascii="宋体" w:hAnsi="宋体"/>
                <w:szCs w:val="21"/>
              </w:rPr>
            </w:pPr>
            <w:r>
              <w:rPr>
                <w:rFonts w:hint="eastAsia" w:ascii="宋体" w:hAnsi="宋体"/>
                <w:szCs w:val="21"/>
              </w:rPr>
              <w:t>投标人代表出席开标会</w:t>
            </w:r>
          </w:p>
        </w:tc>
        <w:tc>
          <w:tcPr>
            <w:tcW w:w="5648" w:type="dxa"/>
            <w:vAlign w:val="center"/>
          </w:tcPr>
          <w:p>
            <w:pPr>
              <w:spacing w:line="300" w:lineRule="auto"/>
              <w:rPr>
                <w:rFonts w:ascii="宋体" w:hAnsi="宋体"/>
                <w:szCs w:val="21"/>
              </w:rPr>
            </w:pPr>
            <w:r>
              <w:rPr>
                <w:rFonts w:hint="eastAsia" w:ascii="宋体" w:hAnsi="宋体"/>
                <w:szCs w:val="21"/>
              </w:rPr>
              <w:t>招标人邀请所有投标人的法定代表人或其委托代理人参加开标会。投标人的法定代表人或 其委托代理人应当按时参加开标会，并在招标人按开标程序进行点名时，向招标人提交法定代表人身份证明文件或法定代表人授权委托书、出示本人身份证，以证明其出席，否则，其投标文件按无效投标处理。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27</w:t>
            </w:r>
          </w:p>
        </w:tc>
        <w:tc>
          <w:tcPr>
            <w:tcW w:w="2089" w:type="dxa"/>
          </w:tcPr>
          <w:p>
            <w:pPr>
              <w:rPr>
                <w:rFonts w:ascii="宋体" w:hAnsi="宋体"/>
                <w:szCs w:val="21"/>
              </w:rPr>
            </w:pPr>
            <w:r>
              <w:rPr>
                <w:rFonts w:hint="eastAsia" w:ascii="宋体" w:hAnsi="宋体"/>
                <w:szCs w:val="21"/>
              </w:rPr>
              <w:t>中标公示</w:t>
            </w:r>
          </w:p>
        </w:tc>
        <w:tc>
          <w:tcPr>
            <w:tcW w:w="5648" w:type="dxa"/>
            <w:vAlign w:val="center"/>
          </w:tcPr>
          <w:p>
            <w:pPr>
              <w:spacing w:line="300" w:lineRule="auto"/>
              <w:rPr>
                <w:rFonts w:ascii="宋体" w:hAnsi="宋体"/>
                <w:szCs w:val="21"/>
              </w:rPr>
            </w:pPr>
            <w:r>
              <w:rPr>
                <w:rFonts w:hint="eastAsia" w:ascii="宋体" w:hAnsi="宋体"/>
                <w:szCs w:val="21"/>
              </w:rPr>
              <w:t>在中标通知书发出前，招标人将中标候选人的情况在本招标项目招标公告发布的同一媒介予以公示，公示期不得少于3日。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28</w:t>
            </w:r>
          </w:p>
        </w:tc>
        <w:tc>
          <w:tcPr>
            <w:tcW w:w="2089" w:type="dxa"/>
          </w:tcPr>
          <w:p>
            <w:pPr>
              <w:rPr>
                <w:rFonts w:ascii="宋体" w:hAnsi="宋体"/>
                <w:szCs w:val="21"/>
              </w:rPr>
            </w:pPr>
            <w:r>
              <w:rPr>
                <w:rFonts w:hint="eastAsia" w:ascii="宋体" w:hAnsi="宋体"/>
                <w:szCs w:val="21"/>
              </w:rPr>
              <w:t>知识产权</w:t>
            </w:r>
          </w:p>
        </w:tc>
        <w:tc>
          <w:tcPr>
            <w:tcW w:w="5648" w:type="dxa"/>
            <w:vAlign w:val="center"/>
          </w:tcPr>
          <w:p>
            <w:pPr>
              <w:spacing w:line="300" w:lineRule="auto"/>
              <w:rPr>
                <w:rFonts w:ascii="宋体" w:hAnsi="宋体"/>
                <w:szCs w:val="21"/>
              </w:rPr>
            </w:pPr>
            <w:r>
              <w:rPr>
                <w:rFonts w:hint="eastAsia" w:ascii="宋体" w:hAnsi="宋体"/>
                <w:szCs w:val="21"/>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29</w:t>
            </w:r>
          </w:p>
        </w:tc>
        <w:tc>
          <w:tcPr>
            <w:tcW w:w="2089" w:type="dxa"/>
          </w:tcPr>
          <w:p>
            <w:pPr>
              <w:rPr>
                <w:rFonts w:ascii="宋体" w:hAnsi="宋体"/>
                <w:szCs w:val="21"/>
              </w:rPr>
            </w:pPr>
            <w:r>
              <w:rPr>
                <w:rFonts w:hint="eastAsia" w:ascii="宋体" w:hAnsi="宋体"/>
                <w:szCs w:val="21"/>
              </w:rPr>
              <w:t>同义词语</w:t>
            </w:r>
          </w:p>
        </w:tc>
        <w:tc>
          <w:tcPr>
            <w:tcW w:w="5648" w:type="dxa"/>
            <w:vAlign w:val="center"/>
          </w:tcPr>
          <w:p>
            <w:pPr>
              <w:spacing w:line="300" w:lineRule="auto"/>
              <w:rPr>
                <w:rFonts w:ascii="宋体" w:hAnsi="宋体"/>
                <w:szCs w:val="21"/>
              </w:rPr>
            </w:pPr>
            <w:r>
              <w:rPr>
                <w:rFonts w:hint="eastAsia" w:ascii="宋体" w:hAnsi="宋体"/>
                <w:szCs w:val="21"/>
              </w:rPr>
              <w:t>构成招标文件组成部分的“合同条款”、“业主要求”等章节中出现的措辞“发包人或采购人或业主或甲方”和“承包人或供应商或运营方或乙方”，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30</w:t>
            </w:r>
          </w:p>
        </w:tc>
        <w:tc>
          <w:tcPr>
            <w:tcW w:w="2089" w:type="dxa"/>
          </w:tcPr>
          <w:p>
            <w:pPr>
              <w:rPr>
                <w:rFonts w:ascii="宋体" w:hAnsi="宋体"/>
                <w:szCs w:val="21"/>
              </w:rPr>
            </w:pPr>
            <w:r>
              <w:rPr>
                <w:rFonts w:hint="eastAsia" w:ascii="宋体" w:hAnsi="宋体"/>
                <w:szCs w:val="21"/>
              </w:rPr>
              <w:t>监督</w:t>
            </w:r>
          </w:p>
        </w:tc>
        <w:tc>
          <w:tcPr>
            <w:tcW w:w="5648" w:type="dxa"/>
            <w:vAlign w:val="center"/>
          </w:tcPr>
          <w:p>
            <w:pPr>
              <w:spacing w:line="300" w:lineRule="auto"/>
              <w:rPr>
                <w:rFonts w:ascii="宋体" w:hAnsi="宋体"/>
                <w:szCs w:val="21"/>
              </w:rPr>
            </w:pPr>
            <w:r>
              <w:rPr>
                <w:rFonts w:hint="eastAsia" w:ascii="宋体" w:hAnsi="宋体"/>
                <w:szCs w:val="21"/>
              </w:rPr>
              <w:t>本项目的招标投标活动及其相关当事人应当接受有管辖权的行政监督部门依法实施的监督。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31</w:t>
            </w:r>
          </w:p>
        </w:tc>
        <w:tc>
          <w:tcPr>
            <w:tcW w:w="2089" w:type="dxa"/>
          </w:tcPr>
          <w:p>
            <w:pPr>
              <w:rPr>
                <w:rFonts w:ascii="宋体" w:hAnsi="宋体"/>
                <w:szCs w:val="21"/>
              </w:rPr>
            </w:pPr>
            <w:r>
              <w:rPr>
                <w:rFonts w:hint="eastAsia" w:ascii="宋体" w:hAnsi="宋体"/>
                <w:szCs w:val="21"/>
              </w:rPr>
              <w:t>解释权</w:t>
            </w:r>
          </w:p>
        </w:tc>
        <w:tc>
          <w:tcPr>
            <w:tcW w:w="5648" w:type="dxa"/>
            <w:vAlign w:val="center"/>
          </w:tcPr>
          <w:p>
            <w:pPr>
              <w:spacing w:line="300" w:lineRule="auto"/>
              <w:rPr>
                <w:rFonts w:ascii="宋体" w:hAnsi="宋体"/>
                <w:szCs w:val="21"/>
              </w:rPr>
            </w:pPr>
            <w:r>
              <w:rPr>
                <w:rFonts w:hint="eastAsia" w:ascii="宋体" w:hAnsi="宋体"/>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32</w:t>
            </w:r>
          </w:p>
        </w:tc>
        <w:tc>
          <w:tcPr>
            <w:tcW w:w="2089" w:type="dxa"/>
          </w:tcPr>
          <w:p>
            <w:pPr>
              <w:rPr>
                <w:rFonts w:ascii="宋体" w:hAnsi="宋体"/>
                <w:szCs w:val="21"/>
              </w:rPr>
            </w:pPr>
            <w:r>
              <w:rPr>
                <w:rFonts w:hint="eastAsia" w:ascii="宋体" w:hAnsi="宋体"/>
                <w:szCs w:val="21"/>
              </w:rPr>
              <w:t>费用与支付</w:t>
            </w:r>
          </w:p>
        </w:tc>
        <w:tc>
          <w:tcPr>
            <w:tcW w:w="5648" w:type="dxa"/>
            <w:vAlign w:val="center"/>
          </w:tcPr>
          <w:p>
            <w:pPr>
              <w:spacing w:line="300" w:lineRule="auto"/>
              <w:rPr>
                <w:rFonts w:ascii="宋体" w:hAnsi="宋体"/>
                <w:szCs w:val="21"/>
              </w:rPr>
            </w:pPr>
            <w:r>
              <w:rPr>
                <w:rFonts w:hint="eastAsia" w:ascii="宋体" w:hAnsi="宋体"/>
                <w:szCs w:val="21"/>
              </w:rPr>
              <w:t>所有款项均以人民币支付，具体付款时间和方式以签订合同为准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33</w:t>
            </w:r>
          </w:p>
        </w:tc>
        <w:tc>
          <w:tcPr>
            <w:tcW w:w="2089" w:type="dxa"/>
          </w:tcPr>
          <w:p>
            <w:pPr>
              <w:jc w:val="left"/>
              <w:rPr>
                <w:rFonts w:ascii="宋体" w:hAnsi="宋体"/>
                <w:szCs w:val="21"/>
              </w:rPr>
            </w:pPr>
            <w:r>
              <w:rPr>
                <w:rFonts w:hint="eastAsia" w:ascii="宋体" w:hAnsi="宋体"/>
              </w:rPr>
              <w:t>联合体投标</w:t>
            </w:r>
          </w:p>
        </w:tc>
        <w:tc>
          <w:tcPr>
            <w:tcW w:w="5648" w:type="dxa"/>
            <w:vAlign w:val="center"/>
          </w:tcPr>
          <w:p>
            <w:pPr>
              <w:spacing w:line="300" w:lineRule="auto"/>
              <w:jc w:val="left"/>
              <w:rPr>
                <w:rFonts w:ascii="宋体" w:hAnsi="宋体"/>
                <w:szCs w:val="21"/>
              </w:rPr>
            </w:pPr>
            <w:r>
              <w:rPr>
                <w:rFonts w:hint="eastAsia" w:ascii="宋体" w:hAnsi="宋体"/>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hint="default" w:ascii="宋体" w:hAnsi="宋体" w:eastAsia="宋体"/>
                <w:szCs w:val="21"/>
                <w:lang w:val="en-US" w:eastAsia="zh-CN"/>
              </w:rPr>
            </w:pPr>
            <w:r>
              <w:rPr>
                <w:rFonts w:hint="eastAsia" w:ascii="宋体" w:hAnsi="宋体" w:eastAsia="宋体" w:cs="宋体"/>
                <w:i w:val="0"/>
                <w:iCs w:val="0"/>
                <w:color w:val="000000"/>
                <w:kern w:val="0"/>
                <w:sz w:val="22"/>
                <w:szCs w:val="22"/>
                <w:u w:val="none"/>
                <w:lang w:val="en-US" w:eastAsia="zh-CN" w:bidi="ar"/>
              </w:rPr>
              <w:t>34</w:t>
            </w:r>
          </w:p>
        </w:tc>
        <w:tc>
          <w:tcPr>
            <w:tcW w:w="2089" w:type="dxa"/>
            <w:vAlign w:val="center"/>
          </w:tcPr>
          <w:p>
            <w:pPr>
              <w:rPr>
                <w:rFonts w:hint="eastAsia" w:ascii="宋体" w:hAnsi="宋体"/>
                <w:lang w:val="en-US" w:eastAsia="zh-CN"/>
              </w:rPr>
            </w:pPr>
            <w:r>
              <w:rPr>
                <w:rFonts w:hint="eastAsia" w:ascii="宋体" w:hAnsi="宋体"/>
              </w:rPr>
              <w:t>特别说明</w:t>
            </w:r>
          </w:p>
        </w:tc>
        <w:tc>
          <w:tcPr>
            <w:tcW w:w="5648" w:type="dxa"/>
            <w:vAlign w:val="center"/>
          </w:tcPr>
          <w:p>
            <w:pPr>
              <w:rPr>
                <w:rFonts w:hint="eastAsia"/>
              </w:rPr>
            </w:pPr>
            <w:r>
              <w:rPr>
                <w:rFonts w:hint="eastAsia"/>
              </w:rPr>
              <w:t>1、鉴于当前疫情情况，各潜在投标人只允许一人参加投标会递交资料；</w:t>
            </w:r>
          </w:p>
          <w:p>
            <w:pPr>
              <w:rPr>
                <w:rFonts w:hint="eastAsia"/>
              </w:rPr>
            </w:pPr>
            <w:r>
              <w:rPr>
                <w:rFonts w:hint="eastAsia"/>
              </w:rPr>
              <w:t>2、有发热、咳嗽等症状的人员严禁参加开标会；</w:t>
            </w:r>
          </w:p>
          <w:p>
            <w:pPr>
              <w:rPr>
                <w:rFonts w:hint="eastAsia"/>
              </w:rPr>
            </w:pPr>
            <w:r>
              <w:rPr>
                <w:rFonts w:hint="eastAsia"/>
              </w:rPr>
              <w:t>3、参加投标人员均需要佩戴口罩计入开标现场；</w:t>
            </w:r>
          </w:p>
          <w:p>
            <w:pPr>
              <w:rPr>
                <w:rFonts w:hint="eastAsia"/>
              </w:rPr>
            </w:pPr>
            <w:r>
              <w:rPr>
                <w:rFonts w:hint="eastAsia"/>
              </w:rPr>
              <w:t>4、现场参加开标会人员，需服从现场管理人员统一安排。</w:t>
            </w:r>
          </w:p>
          <w:p>
            <w:pPr>
              <w:pStyle w:val="2"/>
              <w:ind w:left="0" w:leftChars="0" w:firstLine="0" w:firstLineChars="0"/>
              <w:rPr>
                <w:rFonts w:hint="eastAsia" w:eastAsia="宋体"/>
                <w:lang w:val="en-US" w:eastAsia="zh-CN"/>
              </w:rPr>
            </w:pPr>
            <w:r>
              <w:rPr>
                <w:rFonts w:hint="eastAsia" w:ascii="宋体" w:hAnsi="宋体"/>
                <w:lang w:val="en-US" w:eastAsia="zh-CN"/>
              </w:rPr>
              <w:t>5、中标单位以现金缴纳招标服务费3000元。</w:t>
            </w:r>
          </w:p>
        </w:tc>
      </w:tr>
    </w:tbl>
    <w:p>
      <w:pPr>
        <w:pStyle w:val="6"/>
        <w:rPr>
          <w:rFonts w:hint="eastAsia"/>
        </w:rPr>
      </w:pPr>
      <w:bookmarkStart w:id="18" w:name="_Toc394068359"/>
      <w:bookmarkStart w:id="19" w:name="_Toc144974497"/>
      <w:bookmarkStart w:id="20" w:name="_Toc152045529"/>
      <w:bookmarkStart w:id="21" w:name="_Toc353448491"/>
      <w:bookmarkStart w:id="22" w:name="_Toc179632546"/>
      <w:bookmarkStart w:id="23" w:name="_Toc152042305"/>
      <w:bookmarkStart w:id="24" w:name="_Toc473902470"/>
      <w:r>
        <w:rPr>
          <w:rFonts w:hint="eastAsia"/>
        </w:rPr>
        <w:t>1. 总则</w:t>
      </w:r>
      <w:bookmarkEnd w:id="18"/>
      <w:bookmarkEnd w:id="19"/>
      <w:bookmarkEnd w:id="20"/>
      <w:bookmarkEnd w:id="21"/>
      <w:bookmarkEnd w:id="22"/>
      <w:bookmarkEnd w:id="23"/>
      <w:bookmarkEnd w:id="24"/>
    </w:p>
    <w:p>
      <w:pPr>
        <w:spacing w:line="360" w:lineRule="auto"/>
        <w:rPr>
          <w:rFonts w:ascii="宋体" w:hAnsi="宋体"/>
          <w:b/>
        </w:rPr>
      </w:pPr>
      <w:bookmarkStart w:id="25" w:name="_Toc152045530"/>
      <w:bookmarkStart w:id="26" w:name="_Toc144974498"/>
      <w:bookmarkStart w:id="27" w:name="_Toc179632547"/>
      <w:bookmarkStart w:id="28" w:name="_Toc152042306"/>
      <w:bookmarkStart w:id="29" w:name="_Toc394068360"/>
      <w:r>
        <w:rPr>
          <w:rFonts w:hint="eastAsia" w:ascii="宋体" w:hAnsi="宋体"/>
          <w:b/>
        </w:rPr>
        <w:t>1.1 项目概况</w:t>
      </w:r>
      <w:bookmarkEnd w:id="25"/>
      <w:bookmarkEnd w:id="26"/>
      <w:bookmarkEnd w:id="27"/>
      <w:bookmarkEnd w:id="28"/>
      <w:bookmarkEnd w:id="29"/>
    </w:p>
    <w:p>
      <w:pPr>
        <w:spacing w:line="360" w:lineRule="auto"/>
        <w:ind w:firstLine="420" w:firstLineChars="200"/>
        <w:rPr>
          <w:rFonts w:ascii="宋体" w:hAnsi="宋体"/>
        </w:rPr>
      </w:pPr>
      <w:r>
        <w:rPr>
          <w:rFonts w:hint="eastAsia" w:ascii="宋体" w:hAnsi="宋体"/>
        </w:rPr>
        <w:t>1.1.1根据《中华人民共和国政府采购法》等有关法律、法规和规章的规定，本项目已具备招标条件，现对本项目进行招标。</w:t>
      </w:r>
    </w:p>
    <w:p>
      <w:pPr>
        <w:spacing w:line="360" w:lineRule="auto"/>
        <w:ind w:firstLine="420" w:firstLineChars="200"/>
        <w:rPr>
          <w:rFonts w:ascii="宋体" w:hAnsi="宋体"/>
        </w:rPr>
      </w:pPr>
      <w:r>
        <w:rPr>
          <w:rFonts w:hint="eastAsia" w:ascii="宋体" w:hAnsi="宋体"/>
        </w:rPr>
        <w:t>1.1.2 本项目招标人：见投标人须知前附表。</w:t>
      </w:r>
    </w:p>
    <w:p>
      <w:pPr>
        <w:spacing w:line="360" w:lineRule="auto"/>
        <w:ind w:firstLine="420" w:firstLineChars="200"/>
        <w:rPr>
          <w:rFonts w:ascii="宋体" w:hAnsi="宋体"/>
        </w:rPr>
      </w:pPr>
      <w:r>
        <w:rPr>
          <w:rFonts w:hint="eastAsia" w:ascii="宋体" w:hAnsi="宋体"/>
        </w:rPr>
        <w:t>1.1.3 本项目招标代理机构：见投标人须知前附表。</w:t>
      </w:r>
    </w:p>
    <w:p>
      <w:pPr>
        <w:spacing w:line="360" w:lineRule="auto"/>
        <w:ind w:firstLine="420" w:firstLineChars="200"/>
        <w:rPr>
          <w:rFonts w:ascii="宋体" w:hAnsi="宋体"/>
        </w:rPr>
      </w:pPr>
      <w:r>
        <w:rPr>
          <w:rFonts w:hint="eastAsia" w:ascii="宋体" w:hAnsi="宋体"/>
        </w:rPr>
        <w:t>1.1.4 本项目名称：见投标人须知前附表。</w:t>
      </w:r>
    </w:p>
    <w:p>
      <w:pPr>
        <w:spacing w:line="360" w:lineRule="auto"/>
        <w:ind w:firstLine="420" w:firstLineChars="200"/>
        <w:rPr>
          <w:rFonts w:ascii="宋体" w:hAnsi="宋体"/>
        </w:rPr>
      </w:pPr>
      <w:r>
        <w:rPr>
          <w:rFonts w:hint="eastAsia" w:ascii="宋体" w:hAnsi="宋体"/>
        </w:rPr>
        <w:t>1.1.5 本项目实施地点：见投标人须知前附表。</w:t>
      </w:r>
    </w:p>
    <w:p>
      <w:pPr>
        <w:spacing w:line="360" w:lineRule="auto"/>
        <w:rPr>
          <w:rFonts w:ascii="宋体" w:hAnsi="宋体"/>
          <w:b/>
        </w:rPr>
      </w:pPr>
      <w:bookmarkStart w:id="30" w:name="_Toc144974499"/>
      <w:bookmarkStart w:id="31" w:name="_Toc152042307"/>
      <w:bookmarkStart w:id="32" w:name="_Toc179632548"/>
      <w:bookmarkStart w:id="33" w:name="_Toc152045531"/>
      <w:bookmarkStart w:id="34" w:name="_Toc394068361"/>
      <w:r>
        <w:rPr>
          <w:rFonts w:hint="eastAsia" w:ascii="宋体" w:hAnsi="宋体"/>
          <w:b/>
        </w:rPr>
        <w:t>1.2 资金来源和落实情况</w:t>
      </w:r>
      <w:bookmarkEnd w:id="30"/>
      <w:bookmarkEnd w:id="31"/>
      <w:bookmarkEnd w:id="32"/>
      <w:bookmarkEnd w:id="33"/>
      <w:bookmarkEnd w:id="34"/>
    </w:p>
    <w:p>
      <w:pPr>
        <w:spacing w:line="360" w:lineRule="auto"/>
        <w:ind w:firstLine="420" w:firstLineChars="200"/>
        <w:rPr>
          <w:rFonts w:ascii="宋体" w:hAnsi="宋体"/>
        </w:rPr>
      </w:pPr>
      <w:r>
        <w:rPr>
          <w:rFonts w:hint="eastAsia" w:ascii="宋体" w:hAnsi="宋体"/>
        </w:rPr>
        <w:t>1.2.1 本项目的资金来源：见投标人须知前附表。</w:t>
      </w:r>
    </w:p>
    <w:p>
      <w:pPr>
        <w:spacing w:line="360" w:lineRule="auto"/>
        <w:ind w:firstLine="420" w:firstLineChars="200"/>
        <w:rPr>
          <w:rFonts w:ascii="宋体" w:hAnsi="宋体"/>
        </w:rPr>
      </w:pPr>
      <w:r>
        <w:rPr>
          <w:rFonts w:hint="eastAsia" w:ascii="宋体" w:hAnsi="宋体"/>
        </w:rPr>
        <w:t>1.2.2 本项目的出资比例：见投标人须知前附表。</w:t>
      </w:r>
    </w:p>
    <w:p>
      <w:pPr>
        <w:spacing w:line="360" w:lineRule="auto"/>
        <w:ind w:firstLine="420" w:firstLineChars="200"/>
        <w:rPr>
          <w:rFonts w:ascii="宋体" w:hAnsi="宋体"/>
        </w:rPr>
      </w:pPr>
      <w:r>
        <w:rPr>
          <w:rFonts w:hint="eastAsia" w:ascii="宋体" w:hAnsi="宋体"/>
        </w:rPr>
        <w:t>1.2.3 本项目的资金落实情况：见投标人须知前附表。</w:t>
      </w:r>
    </w:p>
    <w:p>
      <w:pPr>
        <w:spacing w:line="360" w:lineRule="auto"/>
        <w:rPr>
          <w:rFonts w:ascii="宋体" w:hAnsi="宋体"/>
          <w:b/>
        </w:rPr>
      </w:pPr>
      <w:bookmarkStart w:id="35" w:name="_Toc144974500"/>
      <w:bookmarkStart w:id="36" w:name="_Toc152042308"/>
      <w:bookmarkStart w:id="37" w:name="_Toc179632549"/>
      <w:bookmarkStart w:id="38" w:name="_Toc152045532"/>
      <w:bookmarkStart w:id="39" w:name="_Toc394068362"/>
      <w:r>
        <w:rPr>
          <w:rFonts w:hint="eastAsia" w:ascii="宋体" w:hAnsi="宋体"/>
          <w:b/>
        </w:rPr>
        <w:t>1.3 招标范围、</w:t>
      </w:r>
      <w:bookmarkEnd w:id="35"/>
      <w:bookmarkEnd w:id="36"/>
      <w:bookmarkEnd w:id="37"/>
      <w:bookmarkEnd w:id="38"/>
      <w:bookmarkEnd w:id="39"/>
      <w:r>
        <w:rPr>
          <w:rFonts w:hint="eastAsia" w:ascii="宋体" w:hAnsi="宋体"/>
          <w:b/>
        </w:rPr>
        <w:t>运营期限</w:t>
      </w:r>
    </w:p>
    <w:p>
      <w:pPr>
        <w:spacing w:line="360" w:lineRule="auto"/>
        <w:ind w:firstLine="420" w:firstLineChars="200"/>
        <w:rPr>
          <w:rFonts w:ascii="宋体" w:hAnsi="宋体"/>
        </w:rPr>
      </w:pPr>
      <w:bookmarkStart w:id="40" w:name="_Toc144974502"/>
      <w:bookmarkStart w:id="41" w:name="_Toc179632551"/>
      <w:bookmarkStart w:id="42" w:name="_Toc152045534"/>
      <w:bookmarkStart w:id="43" w:name="_Toc394068363"/>
      <w:bookmarkStart w:id="44" w:name="_Toc152042310"/>
      <w:r>
        <w:rPr>
          <w:rFonts w:hint="eastAsia" w:ascii="宋体" w:hAnsi="宋体"/>
        </w:rPr>
        <w:t>1.3.1 本次招标范围：见投标人须知前附表。</w:t>
      </w:r>
    </w:p>
    <w:p>
      <w:pPr>
        <w:spacing w:line="360" w:lineRule="auto"/>
        <w:ind w:firstLine="420" w:firstLineChars="200"/>
        <w:rPr>
          <w:rFonts w:ascii="宋体" w:hAnsi="宋体"/>
        </w:rPr>
      </w:pPr>
      <w:r>
        <w:rPr>
          <w:rFonts w:hint="eastAsia" w:ascii="宋体" w:hAnsi="宋体"/>
        </w:rPr>
        <w:t>1.3.2 本标的运营期限：见投标人须知前附表。</w:t>
      </w:r>
    </w:p>
    <w:p>
      <w:pPr>
        <w:spacing w:line="360" w:lineRule="auto"/>
        <w:ind w:firstLine="420" w:firstLineChars="200"/>
        <w:rPr>
          <w:rFonts w:ascii="宋体" w:hAnsi="宋体"/>
        </w:rPr>
      </w:pPr>
      <w:r>
        <w:rPr>
          <w:rFonts w:hint="eastAsia" w:ascii="宋体" w:hAnsi="宋体"/>
        </w:rPr>
        <w:t>1.3.3 本标的质量要求：见投标人须知前附表。</w:t>
      </w:r>
    </w:p>
    <w:p>
      <w:pPr>
        <w:spacing w:line="360" w:lineRule="auto"/>
        <w:rPr>
          <w:rFonts w:ascii="宋体" w:hAnsi="宋体"/>
          <w:b/>
        </w:rPr>
      </w:pPr>
      <w:r>
        <w:rPr>
          <w:rFonts w:hint="eastAsia" w:ascii="宋体" w:hAnsi="宋体"/>
          <w:b/>
        </w:rPr>
        <w:t>1.4 投标人资格要求</w:t>
      </w:r>
      <w:bookmarkEnd w:id="40"/>
      <w:bookmarkEnd w:id="41"/>
      <w:bookmarkEnd w:id="42"/>
      <w:bookmarkEnd w:id="43"/>
      <w:bookmarkEnd w:id="44"/>
    </w:p>
    <w:p>
      <w:pPr>
        <w:spacing w:line="360" w:lineRule="auto"/>
        <w:ind w:firstLine="420" w:firstLineChars="200"/>
        <w:rPr>
          <w:rFonts w:ascii="宋体" w:hAnsi="宋体"/>
        </w:rPr>
      </w:pPr>
      <w:bookmarkStart w:id="45" w:name="_Toc152045535"/>
      <w:bookmarkStart w:id="46" w:name="_Toc179632552"/>
      <w:bookmarkStart w:id="47" w:name="_Toc394068364"/>
      <w:bookmarkStart w:id="48" w:name="_Toc144974503"/>
      <w:bookmarkStart w:id="49" w:name="_Toc152042311"/>
      <w:r>
        <w:rPr>
          <w:rFonts w:hint="eastAsia" w:ascii="宋体" w:hAnsi="宋体"/>
        </w:rPr>
        <w:t>1.4.1投标人应具备承担本项目的资质条件、能力和信誉，见投标人须知前附表。</w:t>
      </w:r>
    </w:p>
    <w:p>
      <w:pPr>
        <w:spacing w:line="360" w:lineRule="auto"/>
        <w:ind w:firstLine="420" w:firstLineChars="200"/>
        <w:rPr>
          <w:rFonts w:ascii="宋体" w:hAnsi="宋体"/>
        </w:rPr>
      </w:pPr>
      <w:r>
        <w:rPr>
          <w:rFonts w:hint="eastAsia" w:ascii="宋体" w:hAnsi="宋体"/>
        </w:rPr>
        <w:t>1.4.2 投标人不得存在下列情形之一：</w:t>
      </w:r>
    </w:p>
    <w:p>
      <w:pPr>
        <w:spacing w:line="360" w:lineRule="auto"/>
        <w:ind w:firstLine="420" w:firstLineChars="200"/>
        <w:rPr>
          <w:rFonts w:ascii="宋体" w:hAnsi="宋体"/>
        </w:rPr>
      </w:pPr>
      <w:r>
        <w:rPr>
          <w:rFonts w:hint="eastAsia" w:ascii="宋体" w:hAnsi="宋体"/>
        </w:rPr>
        <w:t xml:space="preserve">（1）为采购人不具有独立法人资格的附属机构（单位）； </w:t>
      </w:r>
    </w:p>
    <w:p>
      <w:pPr>
        <w:spacing w:line="360" w:lineRule="auto"/>
        <w:ind w:firstLine="420" w:firstLineChars="200"/>
        <w:rPr>
          <w:rFonts w:ascii="宋体" w:hAnsi="宋体"/>
        </w:rPr>
      </w:pPr>
      <w:r>
        <w:rPr>
          <w:rFonts w:hint="eastAsia" w:ascii="宋体" w:hAnsi="宋体"/>
        </w:rPr>
        <w:t xml:space="preserve">（2）被责令停业的； </w:t>
      </w:r>
    </w:p>
    <w:p>
      <w:pPr>
        <w:spacing w:line="360" w:lineRule="auto"/>
        <w:ind w:firstLine="420" w:firstLineChars="200"/>
        <w:rPr>
          <w:rFonts w:ascii="宋体" w:hAnsi="宋体"/>
        </w:rPr>
      </w:pPr>
      <w:r>
        <w:rPr>
          <w:rFonts w:hint="eastAsia" w:ascii="宋体" w:hAnsi="宋体"/>
        </w:rPr>
        <w:t xml:space="preserve">（3）被暂停或取消投标资格的； </w:t>
      </w:r>
    </w:p>
    <w:p>
      <w:pPr>
        <w:spacing w:line="360" w:lineRule="auto"/>
        <w:ind w:firstLine="420" w:firstLineChars="200"/>
        <w:rPr>
          <w:rFonts w:ascii="宋体" w:hAnsi="宋体"/>
        </w:rPr>
      </w:pPr>
      <w:r>
        <w:rPr>
          <w:rFonts w:hint="eastAsia" w:ascii="宋体" w:hAnsi="宋体"/>
        </w:rPr>
        <w:t>（4）财产被接管或冻结的；</w:t>
      </w:r>
    </w:p>
    <w:p>
      <w:pPr>
        <w:spacing w:line="360" w:lineRule="auto"/>
        <w:ind w:firstLine="420" w:firstLineChars="200"/>
        <w:rPr>
          <w:rFonts w:ascii="宋体" w:hAnsi="宋体"/>
        </w:rPr>
      </w:pPr>
      <w:r>
        <w:rPr>
          <w:rFonts w:hint="eastAsia" w:ascii="宋体" w:hAnsi="宋体"/>
        </w:rPr>
        <w:t>（5）在最近三年内有骗取中标或严重违约或重大质量问题的。</w:t>
      </w:r>
    </w:p>
    <w:p>
      <w:pPr>
        <w:spacing w:line="360" w:lineRule="auto"/>
        <w:ind w:firstLine="420" w:firstLineChars="200"/>
        <w:rPr>
          <w:rFonts w:ascii="宋体" w:hAnsi="宋体"/>
        </w:rPr>
      </w:pPr>
      <w:r>
        <w:rPr>
          <w:rFonts w:hint="eastAsia" w:ascii="宋体" w:hAnsi="宋体"/>
        </w:rPr>
        <w:t>（6）单位负责人为同一人或者存在直接控股、管理关系的不同单位，不得参加同一包段，如果存在，以报名时间早的为准。</w:t>
      </w:r>
    </w:p>
    <w:p>
      <w:pPr>
        <w:spacing w:line="360" w:lineRule="auto"/>
        <w:ind w:firstLine="420" w:firstLineChars="200"/>
        <w:rPr>
          <w:rFonts w:ascii="宋体" w:hAnsi="宋体"/>
        </w:rPr>
      </w:pPr>
      <w:r>
        <w:rPr>
          <w:rFonts w:hint="eastAsia" w:ascii="宋体" w:hAnsi="宋体"/>
        </w:rPr>
        <w:t>（7）与采购人存在利害关系可能影响采购公正性的法人、其他组织或者个人。</w:t>
      </w:r>
    </w:p>
    <w:p>
      <w:pPr>
        <w:spacing w:line="360" w:lineRule="auto"/>
        <w:rPr>
          <w:rFonts w:ascii="宋体" w:hAnsi="宋体"/>
          <w:b/>
        </w:rPr>
      </w:pPr>
      <w:r>
        <w:rPr>
          <w:rFonts w:hint="eastAsia" w:ascii="宋体" w:hAnsi="宋体"/>
          <w:b/>
        </w:rPr>
        <w:t>1.5 费用承担</w:t>
      </w:r>
      <w:bookmarkEnd w:id="45"/>
      <w:bookmarkEnd w:id="46"/>
      <w:bookmarkEnd w:id="47"/>
      <w:bookmarkEnd w:id="48"/>
      <w:bookmarkEnd w:id="49"/>
    </w:p>
    <w:p>
      <w:pPr>
        <w:spacing w:line="360" w:lineRule="auto"/>
        <w:ind w:firstLine="420" w:firstLineChars="200"/>
        <w:rPr>
          <w:rFonts w:ascii="宋体" w:hAnsi="宋体"/>
        </w:rPr>
      </w:pPr>
      <w:r>
        <w:rPr>
          <w:rFonts w:hint="eastAsia" w:ascii="宋体" w:hAnsi="宋体"/>
        </w:rPr>
        <w:t>投标人准备和参加投标活动发生的费用自理。</w:t>
      </w:r>
    </w:p>
    <w:p>
      <w:pPr>
        <w:spacing w:line="360" w:lineRule="auto"/>
        <w:rPr>
          <w:rFonts w:ascii="宋体" w:hAnsi="宋体"/>
          <w:b/>
        </w:rPr>
      </w:pPr>
      <w:bookmarkStart w:id="50" w:name="_Toc394068365"/>
      <w:bookmarkStart w:id="51" w:name="_Toc152045536"/>
      <w:bookmarkStart w:id="52" w:name="_Toc179632553"/>
      <w:bookmarkStart w:id="53" w:name="_Toc144974504"/>
      <w:bookmarkStart w:id="54" w:name="_Toc152042312"/>
      <w:r>
        <w:rPr>
          <w:rFonts w:hint="eastAsia" w:ascii="宋体" w:hAnsi="宋体"/>
          <w:b/>
        </w:rPr>
        <w:t>1.6 保密</w:t>
      </w:r>
      <w:bookmarkEnd w:id="50"/>
      <w:bookmarkEnd w:id="51"/>
      <w:bookmarkEnd w:id="52"/>
      <w:bookmarkEnd w:id="53"/>
      <w:bookmarkEnd w:id="54"/>
    </w:p>
    <w:p>
      <w:pPr>
        <w:spacing w:line="360" w:lineRule="auto"/>
        <w:ind w:firstLine="420" w:firstLineChars="200"/>
        <w:rPr>
          <w:rFonts w:ascii="宋体" w:hAnsi="宋体"/>
        </w:rPr>
      </w:pPr>
      <w:r>
        <w:rPr>
          <w:rFonts w:hint="eastAsia" w:ascii="宋体" w:hAnsi="宋体"/>
        </w:rPr>
        <w:t xml:space="preserve">参与招标投标活动的各方应对招标文件和投标文件中的商业和技术等秘密保密，违者应对由此造成的后果承担法律责任。 </w:t>
      </w:r>
    </w:p>
    <w:p>
      <w:pPr>
        <w:spacing w:line="360" w:lineRule="auto"/>
        <w:rPr>
          <w:rFonts w:ascii="宋体" w:hAnsi="宋体"/>
          <w:b/>
        </w:rPr>
      </w:pPr>
      <w:bookmarkStart w:id="55" w:name="_Toc144974505"/>
      <w:bookmarkStart w:id="56" w:name="_Toc179632554"/>
      <w:bookmarkStart w:id="57" w:name="_Toc152045537"/>
      <w:bookmarkStart w:id="58" w:name="_Toc394068366"/>
      <w:bookmarkStart w:id="59" w:name="_Toc152042313"/>
      <w:r>
        <w:rPr>
          <w:rFonts w:hint="eastAsia" w:ascii="宋体" w:hAnsi="宋体"/>
          <w:b/>
        </w:rPr>
        <w:t>1.7 语言</w:t>
      </w:r>
      <w:bookmarkEnd w:id="55"/>
      <w:r>
        <w:rPr>
          <w:rFonts w:hint="eastAsia" w:ascii="宋体" w:hAnsi="宋体"/>
          <w:b/>
        </w:rPr>
        <w:t>文字</w:t>
      </w:r>
      <w:bookmarkEnd w:id="56"/>
      <w:bookmarkEnd w:id="57"/>
      <w:bookmarkEnd w:id="58"/>
      <w:bookmarkEnd w:id="59"/>
    </w:p>
    <w:p>
      <w:pPr>
        <w:spacing w:line="360" w:lineRule="auto"/>
        <w:ind w:firstLine="420" w:firstLineChars="200"/>
        <w:rPr>
          <w:rFonts w:ascii="宋体" w:hAnsi="宋体"/>
        </w:rPr>
      </w:pPr>
      <w:r>
        <w:rPr>
          <w:rFonts w:hint="eastAsia" w:ascii="宋体" w:hAnsi="宋体"/>
        </w:rPr>
        <w:t>除专用术语外，与招标投标有关的语言均使用中文。必要时专用术语应附有中文注释。</w:t>
      </w:r>
    </w:p>
    <w:p>
      <w:pPr>
        <w:spacing w:line="360" w:lineRule="auto"/>
        <w:rPr>
          <w:rFonts w:ascii="宋体" w:hAnsi="宋体"/>
          <w:b/>
        </w:rPr>
      </w:pPr>
      <w:bookmarkStart w:id="60" w:name="_Toc152042314"/>
      <w:bookmarkStart w:id="61" w:name="_Toc152045538"/>
      <w:bookmarkStart w:id="62" w:name="_Toc144974506"/>
      <w:bookmarkStart w:id="63" w:name="_Toc179632555"/>
      <w:bookmarkStart w:id="64" w:name="_Toc394068367"/>
      <w:r>
        <w:rPr>
          <w:rFonts w:hint="eastAsia" w:ascii="宋体" w:hAnsi="宋体"/>
          <w:b/>
        </w:rPr>
        <w:t>1.8 计量单位</w:t>
      </w:r>
      <w:bookmarkEnd w:id="60"/>
      <w:bookmarkEnd w:id="61"/>
      <w:bookmarkEnd w:id="62"/>
      <w:bookmarkEnd w:id="63"/>
      <w:bookmarkEnd w:id="64"/>
    </w:p>
    <w:p>
      <w:pPr>
        <w:spacing w:line="360" w:lineRule="auto"/>
        <w:ind w:firstLine="420" w:firstLineChars="200"/>
        <w:rPr>
          <w:rFonts w:ascii="宋体" w:hAnsi="宋体"/>
        </w:rPr>
      </w:pPr>
      <w:r>
        <w:rPr>
          <w:rFonts w:hint="eastAsia" w:ascii="宋体" w:hAnsi="宋体"/>
        </w:rPr>
        <w:t>所有计量均采用中华人民共和国法定计量单位。</w:t>
      </w:r>
    </w:p>
    <w:p>
      <w:pPr>
        <w:spacing w:line="360" w:lineRule="auto"/>
        <w:rPr>
          <w:rFonts w:ascii="宋体" w:hAnsi="宋体"/>
          <w:b/>
        </w:rPr>
      </w:pPr>
      <w:bookmarkStart w:id="65" w:name="_Toc152042315"/>
      <w:bookmarkStart w:id="66" w:name="_Toc179632556"/>
      <w:bookmarkStart w:id="67" w:name="_Toc394068368"/>
      <w:bookmarkStart w:id="68" w:name="_Toc144974507"/>
      <w:bookmarkStart w:id="69" w:name="_Toc152045539"/>
      <w:r>
        <w:rPr>
          <w:rFonts w:hint="eastAsia" w:ascii="宋体" w:hAnsi="宋体"/>
          <w:b/>
        </w:rPr>
        <w:t>1.9 踏勘现场</w:t>
      </w:r>
      <w:bookmarkEnd w:id="65"/>
      <w:bookmarkEnd w:id="66"/>
      <w:bookmarkEnd w:id="67"/>
      <w:bookmarkEnd w:id="68"/>
      <w:bookmarkEnd w:id="69"/>
    </w:p>
    <w:p>
      <w:pPr>
        <w:spacing w:line="360" w:lineRule="auto"/>
        <w:ind w:firstLine="420" w:firstLineChars="200"/>
        <w:rPr>
          <w:rFonts w:ascii="宋体" w:hAnsi="宋体"/>
        </w:rPr>
      </w:pPr>
      <w:r>
        <w:rPr>
          <w:rFonts w:hint="eastAsia" w:ascii="宋体" w:hAnsi="宋体"/>
        </w:rPr>
        <w:t xml:space="preserve">1.9.1 本项目不统一组织投标人踏勘项目现场，投标人自行踏勘。 </w:t>
      </w:r>
    </w:p>
    <w:p>
      <w:pPr>
        <w:spacing w:line="360" w:lineRule="auto"/>
        <w:ind w:firstLine="420" w:firstLineChars="200"/>
        <w:rPr>
          <w:rFonts w:ascii="宋体" w:hAnsi="宋体"/>
        </w:rPr>
      </w:pPr>
      <w:r>
        <w:rPr>
          <w:rFonts w:hint="eastAsia" w:ascii="宋体" w:hAnsi="宋体"/>
        </w:rPr>
        <w:t>1.9.2 投标人踏勘现场发生的费用自理。</w:t>
      </w:r>
    </w:p>
    <w:p>
      <w:pPr>
        <w:spacing w:line="360" w:lineRule="auto"/>
        <w:ind w:firstLine="420" w:firstLineChars="200"/>
        <w:rPr>
          <w:rFonts w:ascii="宋体" w:hAnsi="宋体"/>
        </w:rPr>
      </w:pPr>
      <w:r>
        <w:rPr>
          <w:rFonts w:hint="eastAsia" w:ascii="宋体" w:hAnsi="宋体"/>
        </w:rPr>
        <w:t>1.9.3 除招标人的原因外，投标人自行负责在踏勘现场中所发生的人员伤亡和财产损失。</w:t>
      </w:r>
    </w:p>
    <w:p>
      <w:pPr>
        <w:spacing w:line="360" w:lineRule="auto"/>
        <w:ind w:firstLine="420" w:firstLineChars="200"/>
        <w:rPr>
          <w:rFonts w:ascii="宋体" w:hAnsi="宋体"/>
        </w:rPr>
      </w:pPr>
      <w:r>
        <w:rPr>
          <w:rFonts w:hint="eastAsia" w:ascii="宋体" w:hAnsi="宋体"/>
        </w:rPr>
        <w:t>1.9.4 招标人在踏勘现场中介绍的工程场地和相关的周边环境情况，供投标人在编制投标文件时参考，招标人不对投标人据此作出的判断和决策负责。</w:t>
      </w:r>
    </w:p>
    <w:p>
      <w:pPr>
        <w:spacing w:line="360" w:lineRule="auto"/>
        <w:rPr>
          <w:rFonts w:ascii="宋体" w:hAnsi="宋体"/>
          <w:b/>
        </w:rPr>
      </w:pPr>
      <w:bookmarkStart w:id="70" w:name="_Toc179632557"/>
      <w:bookmarkStart w:id="71" w:name="_Toc144974508"/>
      <w:bookmarkStart w:id="72" w:name="_Toc394068369"/>
      <w:bookmarkStart w:id="73" w:name="_Toc152042316"/>
      <w:bookmarkStart w:id="74" w:name="_Toc152045540"/>
      <w:r>
        <w:rPr>
          <w:rFonts w:hint="eastAsia" w:ascii="宋体" w:hAnsi="宋体"/>
          <w:b/>
        </w:rPr>
        <w:t>1.10 投标预备会</w:t>
      </w:r>
      <w:bookmarkEnd w:id="70"/>
      <w:bookmarkEnd w:id="71"/>
      <w:bookmarkEnd w:id="72"/>
      <w:bookmarkEnd w:id="73"/>
      <w:bookmarkEnd w:id="74"/>
    </w:p>
    <w:p>
      <w:pPr>
        <w:spacing w:line="360" w:lineRule="auto"/>
        <w:ind w:firstLine="420" w:firstLineChars="200"/>
        <w:rPr>
          <w:rFonts w:ascii="宋体" w:hAnsi="宋体"/>
        </w:rPr>
      </w:pPr>
      <w:r>
        <w:rPr>
          <w:rFonts w:hint="eastAsia" w:ascii="宋体" w:hAnsi="宋体"/>
        </w:rPr>
        <w:t>1.10.1 本项目不统一召开投标预备会。</w:t>
      </w:r>
    </w:p>
    <w:p>
      <w:pPr>
        <w:pStyle w:val="6"/>
        <w:rPr>
          <w:rFonts w:hint="eastAsia"/>
        </w:rPr>
      </w:pPr>
      <w:bookmarkStart w:id="75" w:name="_Toc473902471"/>
      <w:bookmarkStart w:id="76" w:name="_Toc144974510"/>
      <w:bookmarkStart w:id="77" w:name="_Toc353448492"/>
      <w:bookmarkStart w:id="78" w:name="_Toc152042318"/>
      <w:bookmarkStart w:id="79" w:name="_Toc179632560"/>
      <w:bookmarkStart w:id="80" w:name="_Toc152045542"/>
      <w:bookmarkStart w:id="81" w:name="_Toc394068371"/>
      <w:r>
        <w:rPr>
          <w:rFonts w:hint="eastAsia"/>
        </w:rPr>
        <w:t>2. 招标文件</w:t>
      </w:r>
      <w:bookmarkEnd w:id="75"/>
      <w:bookmarkEnd w:id="76"/>
      <w:bookmarkEnd w:id="77"/>
      <w:bookmarkEnd w:id="78"/>
      <w:bookmarkEnd w:id="79"/>
      <w:bookmarkEnd w:id="80"/>
      <w:bookmarkEnd w:id="81"/>
    </w:p>
    <w:p>
      <w:pPr>
        <w:spacing w:line="360" w:lineRule="auto"/>
        <w:rPr>
          <w:rFonts w:ascii="宋体" w:hAnsi="宋体"/>
          <w:b/>
        </w:rPr>
      </w:pPr>
      <w:bookmarkStart w:id="82" w:name="_Toc152042319"/>
      <w:bookmarkStart w:id="83" w:name="_Toc394068372"/>
      <w:bookmarkStart w:id="84" w:name="_Toc179632561"/>
      <w:bookmarkStart w:id="85" w:name="_Toc152045543"/>
      <w:bookmarkStart w:id="86" w:name="_Toc144974511"/>
      <w:r>
        <w:rPr>
          <w:rFonts w:hint="eastAsia" w:ascii="宋体" w:hAnsi="宋体"/>
          <w:b/>
        </w:rPr>
        <w:t>2.1 招标文件的组成</w:t>
      </w:r>
      <w:bookmarkEnd w:id="82"/>
      <w:bookmarkEnd w:id="83"/>
      <w:bookmarkEnd w:id="84"/>
      <w:bookmarkEnd w:id="85"/>
      <w:bookmarkEnd w:id="86"/>
    </w:p>
    <w:p>
      <w:pPr>
        <w:spacing w:line="360" w:lineRule="auto"/>
        <w:ind w:firstLine="420" w:firstLineChars="200"/>
        <w:rPr>
          <w:rFonts w:ascii="宋体" w:hAnsi="宋体"/>
        </w:rPr>
      </w:pPr>
      <w:r>
        <w:rPr>
          <w:rFonts w:hint="eastAsia" w:ascii="宋体" w:hAnsi="宋体"/>
        </w:rPr>
        <w:t>本招标文件包括：</w:t>
      </w:r>
    </w:p>
    <w:p>
      <w:pPr>
        <w:spacing w:line="360" w:lineRule="auto"/>
        <w:ind w:firstLine="420" w:firstLineChars="200"/>
        <w:rPr>
          <w:rFonts w:ascii="宋体" w:hAnsi="宋体"/>
        </w:rPr>
      </w:pPr>
      <w:r>
        <w:rPr>
          <w:rFonts w:hint="eastAsia" w:ascii="宋体" w:hAnsi="宋体"/>
        </w:rPr>
        <w:t>（1）招标公告；</w:t>
      </w:r>
    </w:p>
    <w:p>
      <w:pPr>
        <w:spacing w:line="360" w:lineRule="auto"/>
        <w:ind w:firstLine="420" w:firstLineChars="200"/>
        <w:rPr>
          <w:rFonts w:ascii="宋体" w:hAnsi="宋体"/>
        </w:rPr>
      </w:pPr>
      <w:r>
        <w:rPr>
          <w:rFonts w:hint="eastAsia" w:ascii="宋体" w:hAnsi="宋体"/>
        </w:rPr>
        <w:t>（2）投标人须知；</w:t>
      </w:r>
    </w:p>
    <w:p>
      <w:pPr>
        <w:spacing w:line="360" w:lineRule="auto"/>
        <w:ind w:firstLine="420" w:firstLineChars="200"/>
        <w:rPr>
          <w:rFonts w:ascii="宋体" w:hAnsi="宋体"/>
        </w:rPr>
      </w:pPr>
      <w:r>
        <w:rPr>
          <w:rFonts w:hint="eastAsia" w:ascii="宋体" w:hAnsi="宋体"/>
        </w:rPr>
        <w:t>（3）评标办法；</w:t>
      </w:r>
    </w:p>
    <w:p>
      <w:pPr>
        <w:spacing w:line="360" w:lineRule="auto"/>
        <w:ind w:firstLine="420" w:firstLineChars="200"/>
        <w:rPr>
          <w:rFonts w:ascii="宋体" w:hAnsi="宋体"/>
        </w:rPr>
      </w:pPr>
      <w:r>
        <w:rPr>
          <w:rFonts w:hint="eastAsia" w:ascii="宋体" w:hAnsi="宋体"/>
        </w:rPr>
        <w:t>（4）合同条款；</w:t>
      </w:r>
    </w:p>
    <w:p>
      <w:pPr>
        <w:spacing w:line="360" w:lineRule="auto"/>
        <w:ind w:firstLine="420" w:firstLineChars="200"/>
        <w:rPr>
          <w:rFonts w:ascii="宋体" w:hAnsi="宋体"/>
        </w:rPr>
      </w:pPr>
      <w:r>
        <w:rPr>
          <w:rFonts w:hint="eastAsia" w:ascii="宋体" w:hAnsi="宋体"/>
        </w:rPr>
        <w:t xml:space="preserve">（5）业主需求书； </w:t>
      </w:r>
    </w:p>
    <w:p>
      <w:pPr>
        <w:spacing w:line="360" w:lineRule="auto"/>
        <w:ind w:firstLine="420" w:firstLineChars="200"/>
        <w:rPr>
          <w:rFonts w:ascii="宋体" w:hAnsi="宋体"/>
        </w:rPr>
      </w:pPr>
      <w:r>
        <w:rPr>
          <w:rFonts w:hint="eastAsia" w:ascii="宋体" w:hAnsi="宋体"/>
        </w:rPr>
        <w:t>（6）投标文件格式；</w:t>
      </w:r>
    </w:p>
    <w:p>
      <w:pPr>
        <w:spacing w:line="360" w:lineRule="auto"/>
        <w:ind w:firstLine="420" w:firstLineChars="200"/>
        <w:rPr>
          <w:rFonts w:ascii="宋体" w:hAnsi="宋体"/>
        </w:rPr>
      </w:pPr>
      <w:r>
        <w:rPr>
          <w:rFonts w:hint="eastAsia" w:ascii="宋体" w:hAnsi="宋体"/>
        </w:rPr>
        <w:t>（7）投标人须知前附表规定的其他材料。</w:t>
      </w:r>
    </w:p>
    <w:p>
      <w:pPr>
        <w:spacing w:line="360" w:lineRule="auto"/>
        <w:rPr>
          <w:rFonts w:ascii="宋体" w:hAnsi="宋体"/>
          <w:b/>
        </w:rPr>
      </w:pPr>
      <w:bookmarkStart w:id="87" w:name="_Toc394068373"/>
      <w:bookmarkStart w:id="88" w:name="_Toc152042320"/>
      <w:bookmarkStart w:id="89" w:name="_Toc144974512"/>
      <w:bookmarkStart w:id="90" w:name="_Toc179632562"/>
      <w:bookmarkStart w:id="91" w:name="_Toc152045544"/>
      <w:r>
        <w:rPr>
          <w:rFonts w:hint="eastAsia" w:ascii="宋体" w:hAnsi="宋体"/>
          <w:b/>
        </w:rPr>
        <w:t>2.2 招标文件的澄清</w:t>
      </w:r>
      <w:bookmarkEnd w:id="87"/>
      <w:bookmarkEnd w:id="88"/>
      <w:bookmarkEnd w:id="89"/>
      <w:bookmarkEnd w:id="90"/>
      <w:bookmarkEnd w:id="91"/>
    </w:p>
    <w:p>
      <w:pPr>
        <w:spacing w:line="360" w:lineRule="auto"/>
        <w:ind w:firstLine="315" w:firstLineChars="150"/>
        <w:rPr>
          <w:rFonts w:ascii="宋体" w:hAnsi="宋体"/>
          <w:b/>
        </w:rPr>
      </w:pPr>
      <w:r>
        <w:rPr>
          <w:rFonts w:hint="eastAsia" w:ascii="宋体" w:hAnsi="宋体"/>
        </w:rPr>
        <w:t>见投标人须知前附表。</w:t>
      </w:r>
    </w:p>
    <w:p>
      <w:pPr>
        <w:spacing w:line="360" w:lineRule="auto"/>
        <w:rPr>
          <w:rFonts w:ascii="宋体" w:hAnsi="宋体"/>
          <w:b/>
        </w:rPr>
      </w:pPr>
      <w:bookmarkStart w:id="92" w:name="_Toc152042321"/>
      <w:bookmarkStart w:id="93" w:name="_Toc179632563"/>
      <w:bookmarkStart w:id="94" w:name="_Toc144974513"/>
      <w:bookmarkStart w:id="95" w:name="_Toc394068374"/>
      <w:bookmarkStart w:id="96" w:name="_Toc152045545"/>
      <w:r>
        <w:rPr>
          <w:rFonts w:hint="eastAsia" w:ascii="宋体" w:hAnsi="宋体"/>
          <w:b/>
        </w:rPr>
        <w:t>2.3 招标文件的修改</w:t>
      </w:r>
      <w:bookmarkEnd w:id="92"/>
      <w:bookmarkEnd w:id="93"/>
      <w:bookmarkEnd w:id="94"/>
      <w:bookmarkEnd w:id="95"/>
      <w:bookmarkEnd w:id="96"/>
    </w:p>
    <w:p>
      <w:pPr>
        <w:spacing w:line="360" w:lineRule="auto"/>
        <w:ind w:firstLine="315" w:firstLineChars="150"/>
        <w:rPr>
          <w:rFonts w:ascii="宋体" w:hAnsi="宋体"/>
          <w:b/>
        </w:rPr>
      </w:pPr>
      <w:r>
        <w:rPr>
          <w:rFonts w:hint="eastAsia" w:ascii="宋体" w:hAnsi="宋体"/>
        </w:rPr>
        <w:t>见投标人须知前附表。</w:t>
      </w:r>
    </w:p>
    <w:p>
      <w:pPr>
        <w:pStyle w:val="6"/>
        <w:rPr>
          <w:rFonts w:hint="eastAsia"/>
        </w:rPr>
      </w:pPr>
      <w:bookmarkStart w:id="97" w:name="_Toc473902472"/>
      <w:bookmarkStart w:id="98" w:name="_Toc179632564"/>
      <w:bookmarkStart w:id="99" w:name="_Toc394068376"/>
      <w:bookmarkStart w:id="100" w:name="_Toc152045546"/>
      <w:bookmarkStart w:id="101" w:name="_Toc144974514"/>
      <w:bookmarkStart w:id="102" w:name="_Toc152042322"/>
      <w:bookmarkStart w:id="103" w:name="_Toc353448493"/>
      <w:r>
        <w:rPr>
          <w:rFonts w:hint="eastAsia"/>
        </w:rPr>
        <w:t>3. 投标文件</w:t>
      </w:r>
      <w:bookmarkEnd w:id="97"/>
      <w:bookmarkEnd w:id="98"/>
      <w:bookmarkEnd w:id="99"/>
      <w:bookmarkEnd w:id="100"/>
      <w:bookmarkEnd w:id="101"/>
      <w:bookmarkEnd w:id="102"/>
      <w:bookmarkEnd w:id="103"/>
    </w:p>
    <w:p>
      <w:pPr>
        <w:spacing w:line="360" w:lineRule="auto"/>
        <w:rPr>
          <w:rFonts w:ascii="宋体" w:hAnsi="宋体"/>
          <w:b/>
        </w:rPr>
      </w:pPr>
      <w:bookmarkStart w:id="104" w:name="_Toc144974515"/>
      <w:bookmarkStart w:id="105" w:name="_Toc179632565"/>
      <w:bookmarkStart w:id="106" w:name="_Toc152042323"/>
      <w:bookmarkStart w:id="107" w:name="_Toc152045547"/>
      <w:bookmarkStart w:id="108" w:name="_Toc394068377"/>
      <w:r>
        <w:rPr>
          <w:rFonts w:hint="eastAsia" w:ascii="宋体" w:hAnsi="宋体"/>
          <w:b/>
        </w:rPr>
        <w:t>3.1 投标文件的组成</w:t>
      </w:r>
      <w:bookmarkEnd w:id="104"/>
      <w:bookmarkEnd w:id="105"/>
      <w:bookmarkEnd w:id="106"/>
      <w:bookmarkEnd w:id="107"/>
      <w:bookmarkEnd w:id="108"/>
    </w:p>
    <w:p>
      <w:pPr>
        <w:spacing w:line="360" w:lineRule="auto"/>
        <w:ind w:firstLine="420" w:firstLineChars="200"/>
        <w:rPr>
          <w:rFonts w:ascii="宋体" w:hAnsi="宋体"/>
        </w:rPr>
      </w:pPr>
      <w:r>
        <w:rPr>
          <w:rFonts w:hint="eastAsia" w:ascii="宋体" w:hAnsi="宋体"/>
        </w:rPr>
        <w:t>3.1.1投标文件应包括下列内容：</w:t>
      </w:r>
    </w:p>
    <w:p>
      <w:pPr>
        <w:spacing w:line="360" w:lineRule="auto"/>
        <w:ind w:firstLine="420" w:firstLineChars="200"/>
        <w:rPr>
          <w:rFonts w:ascii="宋体" w:hAnsi="宋体"/>
        </w:rPr>
      </w:pPr>
      <w:r>
        <w:rPr>
          <w:rFonts w:hint="eastAsia" w:ascii="宋体" w:hAnsi="宋体"/>
        </w:rPr>
        <w:t>（1）投标函；</w:t>
      </w:r>
    </w:p>
    <w:p>
      <w:pPr>
        <w:spacing w:line="360" w:lineRule="auto"/>
        <w:ind w:firstLine="420" w:firstLineChars="200"/>
        <w:rPr>
          <w:rFonts w:ascii="宋体" w:hAnsi="宋体"/>
        </w:rPr>
      </w:pPr>
      <w:r>
        <w:rPr>
          <w:rFonts w:hint="eastAsia" w:ascii="宋体" w:hAnsi="宋体"/>
        </w:rPr>
        <w:t>（2）法定代表人身份证明；</w:t>
      </w:r>
    </w:p>
    <w:p>
      <w:pPr>
        <w:spacing w:line="360" w:lineRule="auto"/>
        <w:ind w:firstLine="420" w:firstLineChars="200"/>
        <w:rPr>
          <w:rFonts w:ascii="宋体" w:hAnsi="宋体"/>
        </w:rPr>
      </w:pPr>
      <w:r>
        <w:rPr>
          <w:rFonts w:hint="eastAsia" w:ascii="宋体" w:hAnsi="宋体"/>
        </w:rPr>
        <w:t>（3）授权委托书（如有）；</w:t>
      </w:r>
    </w:p>
    <w:p>
      <w:pPr>
        <w:spacing w:line="360" w:lineRule="auto"/>
        <w:ind w:firstLine="420" w:firstLineChars="200"/>
        <w:rPr>
          <w:rFonts w:ascii="宋体" w:hAnsi="宋体"/>
        </w:rPr>
      </w:pPr>
      <w:r>
        <w:rPr>
          <w:rFonts w:hint="eastAsia" w:ascii="宋体" w:hAnsi="宋体"/>
        </w:rPr>
        <w:t>（4）投标保证金；</w:t>
      </w:r>
    </w:p>
    <w:p>
      <w:pPr>
        <w:spacing w:line="360" w:lineRule="auto"/>
        <w:ind w:firstLine="420" w:firstLineChars="200"/>
        <w:rPr>
          <w:rFonts w:ascii="宋体" w:hAnsi="宋体"/>
        </w:rPr>
      </w:pPr>
      <w:r>
        <w:rPr>
          <w:rFonts w:hint="eastAsia" w:ascii="宋体" w:hAnsi="宋体"/>
        </w:rPr>
        <w:t>（5）投标报价表；</w:t>
      </w:r>
    </w:p>
    <w:p>
      <w:pPr>
        <w:spacing w:line="360" w:lineRule="auto"/>
        <w:ind w:firstLine="420" w:firstLineChars="200"/>
        <w:rPr>
          <w:rFonts w:ascii="宋体" w:hAnsi="宋体"/>
          <w:color w:val="auto"/>
        </w:rPr>
      </w:pPr>
      <w:r>
        <w:rPr>
          <w:rFonts w:hint="eastAsia" w:ascii="宋体" w:hAnsi="宋体"/>
          <w:color w:val="auto"/>
        </w:rPr>
        <w:t>（6）</w:t>
      </w:r>
      <w:r>
        <w:rPr>
          <w:rFonts w:hint="eastAsia" w:ascii="宋体" w:hAnsi="宋体"/>
          <w:bCs/>
          <w:color w:val="auto"/>
          <w:szCs w:val="21"/>
        </w:rPr>
        <w:t>投标报价说明</w:t>
      </w:r>
      <w:r>
        <w:rPr>
          <w:rFonts w:hint="eastAsia" w:ascii="宋体" w:hAnsi="宋体"/>
          <w:color w:val="auto"/>
        </w:rPr>
        <w:t xml:space="preserve">； </w:t>
      </w:r>
    </w:p>
    <w:p>
      <w:pPr>
        <w:spacing w:line="360" w:lineRule="auto"/>
        <w:ind w:firstLine="420" w:firstLineChars="200"/>
        <w:rPr>
          <w:rFonts w:ascii="宋体" w:hAnsi="宋体"/>
          <w:color w:val="auto"/>
        </w:rPr>
      </w:pPr>
      <w:r>
        <w:rPr>
          <w:rFonts w:hint="eastAsia" w:ascii="宋体" w:hAnsi="宋体"/>
          <w:color w:val="auto"/>
        </w:rPr>
        <w:t>（7）</w:t>
      </w:r>
      <w:r>
        <w:rPr>
          <w:rFonts w:hint="eastAsia" w:ascii="宋体" w:hAnsi="宋体"/>
          <w:color w:val="auto"/>
          <w:szCs w:val="21"/>
          <w:lang w:eastAsia="zh-CN"/>
        </w:rPr>
        <w:t>服务</w:t>
      </w:r>
      <w:r>
        <w:rPr>
          <w:rFonts w:hint="eastAsia" w:ascii="宋体" w:hAnsi="宋体"/>
          <w:color w:val="auto"/>
          <w:szCs w:val="21"/>
        </w:rPr>
        <w:t>方案</w:t>
      </w:r>
      <w:r>
        <w:rPr>
          <w:rFonts w:hint="eastAsia" w:ascii="宋体" w:hAnsi="宋体"/>
          <w:color w:val="auto"/>
        </w:rPr>
        <w:t>；</w:t>
      </w:r>
    </w:p>
    <w:p>
      <w:pPr>
        <w:spacing w:line="360" w:lineRule="auto"/>
        <w:ind w:firstLine="420" w:firstLineChars="200"/>
        <w:rPr>
          <w:rFonts w:ascii="宋体" w:hAnsi="宋体"/>
          <w:color w:val="auto"/>
        </w:rPr>
      </w:pPr>
      <w:r>
        <w:rPr>
          <w:rFonts w:hint="eastAsia" w:ascii="宋体" w:hAnsi="宋体"/>
          <w:color w:val="auto"/>
        </w:rPr>
        <w:t>（8）资格审查资料；</w:t>
      </w:r>
    </w:p>
    <w:p>
      <w:pPr>
        <w:spacing w:line="360" w:lineRule="auto"/>
        <w:ind w:firstLine="420" w:firstLineChars="200"/>
        <w:rPr>
          <w:rFonts w:ascii="宋体" w:hAnsi="宋体"/>
          <w:color w:val="auto"/>
        </w:rPr>
      </w:pPr>
      <w:r>
        <w:rPr>
          <w:rFonts w:hint="eastAsia" w:ascii="宋体" w:hAnsi="宋体"/>
          <w:color w:val="auto"/>
        </w:rPr>
        <w:t>（9）投标人类似业绩情况表；</w:t>
      </w:r>
    </w:p>
    <w:p>
      <w:pPr>
        <w:spacing w:line="360" w:lineRule="auto"/>
        <w:ind w:firstLine="420" w:firstLineChars="200"/>
        <w:rPr>
          <w:rFonts w:ascii="宋体" w:hAnsi="宋体"/>
          <w:color w:val="auto"/>
        </w:rPr>
      </w:pPr>
      <w:r>
        <w:rPr>
          <w:rFonts w:hint="eastAsia" w:ascii="宋体" w:hAnsi="宋体"/>
          <w:color w:val="auto"/>
        </w:rPr>
        <w:t>（10）投标人须知前附表规定的其他材料。</w:t>
      </w:r>
    </w:p>
    <w:p>
      <w:pPr>
        <w:spacing w:line="360" w:lineRule="auto"/>
        <w:rPr>
          <w:rFonts w:ascii="宋体" w:hAnsi="宋体"/>
          <w:b/>
        </w:rPr>
      </w:pPr>
      <w:bookmarkStart w:id="109" w:name="_Toc152042324"/>
      <w:bookmarkStart w:id="110" w:name="_Toc152045548"/>
      <w:bookmarkStart w:id="111" w:name="_Toc394068378"/>
      <w:bookmarkStart w:id="112" w:name="_Toc144974516"/>
      <w:bookmarkStart w:id="113" w:name="_Toc179632566"/>
      <w:r>
        <w:rPr>
          <w:rFonts w:hint="eastAsia" w:ascii="宋体" w:hAnsi="宋体"/>
          <w:b/>
        </w:rPr>
        <w:t>3.2 投标报价</w:t>
      </w:r>
      <w:bookmarkEnd w:id="109"/>
      <w:bookmarkEnd w:id="110"/>
      <w:bookmarkEnd w:id="111"/>
      <w:bookmarkEnd w:id="112"/>
      <w:bookmarkEnd w:id="113"/>
    </w:p>
    <w:p>
      <w:pPr>
        <w:spacing w:line="360" w:lineRule="auto"/>
        <w:ind w:firstLine="420" w:firstLineChars="200"/>
        <w:rPr>
          <w:rFonts w:ascii="宋体" w:hAnsi="宋体"/>
        </w:rPr>
      </w:pPr>
      <w:r>
        <w:rPr>
          <w:rFonts w:hint="eastAsia" w:ascii="宋体" w:hAnsi="宋体"/>
        </w:rPr>
        <w:t>3.2.1 投标人应按第六章“投标报价表”的顺序、格式、要求填写相应表格。对未按要求填报的，其投标文件</w:t>
      </w:r>
      <w:r>
        <w:rPr>
          <w:rFonts w:hint="eastAsia" w:ascii="宋体" w:hAnsi="宋体"/>
          <w:color w:val="FF0000"/>
        </w:rPr>
        <w:t>有可能按无</w:t>
      </w:r>
      <w:r>
        <w:rPr>
          <w:rFonts w:hint="eastAsia" w:ascii="宋体" w:hAnsi="宋体"/>
        </w:rPr>
        <w:t>效投标文件处理。</w:t>
      </w:r>
    </w:p>
    <w:p>
      <w:pPr>
        <w:spacing w:line="360" w:lineRule="auto"/>
        <w:ind w:firstLine="420" w:firstLineChars="200"/>
        <w:rPr>
          <w:rFonts w:ascii="宋体" w:hAnsi="宋体"/>
        </w:rPr>
      </w:pPr>
      <w:r>
        <w:rPr>
          <w:rFonts w:hint="eastAsia" w:ascii="宋体" w:hAnsi="宋体"/>
        </w:rPr>
        <w:t>3.2.2 投标人在投标截止时间前修改投标函中的投标报价，应同时修改第六章“投标报价表”中的相应报价。此修改须符合本章第4.3款的有关要求。　</w:t>
      </w:r>
    </w:p>
    <w:p>
      <w:pPr>
        <w:spacing w:line="360" w:lineRule="auto"/>
        <w:ind w:firstLine="420" w:firstLineChars="200"/>
        <w:rPr>
          <w:rFonts w:ascii="宋体" w:hAnsi="宋体"/>
        </w:rPr>
      </w:pPr>
      <w:r>
        <w:rPr>
          <w:rFonts w:hint="eastAsia" w:ascii="宋体" w:hAnsi="宋体"/>
        </w:rPr>
        <w:t>3.2.3每一项目只允许有一个报价，任何有选择的报价将不予接受。</w:t>
      </w:r>
    </w:p>
    <w:p>
      <w:pPr>
        <w:spacing w:line="360" w:lineRule="auto"/>
        <w:ind w:firstLine="420" w:firstLineChars="200"/>
        <w:rPr>
          <w:rFonts w:ascii="宋体" w:hAnsi="宋体"/>
        </w:rPr>
      </w:pPr>
      <w:r>
        <w:rPr>
          <w:rFonts w:hint="eastAsia" w:ascii="宋体" w:hAnsi="宋体"/>
        </w:rPr>
        <w:t>3.2.4除非合同中另有规定，投标人投标报价表中的价格均包括</w:t>
      </w:r>
      <w:r>
        <w:rPr>
          <w:rFonts w:hint="eastAsia" w:ascii="宋体" w:hAnsi="宋体"/>
          <w:color w:val="FF0000"/>
        </w:rPr>
        <w:t>合同有效期内</w:t>
      </w:r>
      <w:r>
        <w:rPr>
          <w:rFonts w:hint="eastAsia" w:ascii="宋体" w:hAnsi="宋体"/>
        </w:rPr>
        <w:t>完成该项目的成本、利润、税金、开办费、组织与技术措施费、风险费、政策性文件规定费用等所有费用。</w:t>
      </w:r>
    </w:p>
    <w:p>
      <w:pPr>
        <w:spacing w:line="360" w:lineRule="auto"/>
        <w:ind w:firstLine="420" w:firstLineChars="200"/>
        <w:rPr>
          <w:rFonts w:ascii="宋体" w:hAnsi="宋体"/>
        </w:rPr>
      </w:pPr>
      <w:r>
        <w:rPr>
          <w:rFonts w:hint="eastAsia" w:ascii="宋体" w:hAnsi="宋体"/>
        </w:rPr>
        <w:t>3.2.5投标人的投标报价不得超过本招标文件规定的最高限价（拦标价），否则视为实质上未响应招标文件要求的投标，按废标处理。</w:t>
      </w:r>
    </w:p>
    <w:p>
      <w:pPr>
        <w:spacing w:line="360" w:lineRule="auto"/>
        <w:rPr>
          <w:rFonts w:ascii="宋体" w:hAnsi="宋体"/>
          <w:b/>
        </w:rPr>
      </w:pPr>
      <w:bookmarkStart w:id="114" w:name="_Toc152042325"/>
      <w:bookmarkStart w:id="115" w:name="_Toc394068379"/>
      <w:bookmarkStart w:id="116" w:name="_Toc144974517"/>
      <w:bookmarkStart w:id="117" w:name="_Toc152045549"/>
      <w:bookmarkStart w:id="118" w:name="_Toc179632567"/>
      <w:r>
        <w:rPr>
          <w:rFonts w:hint="eastAsia" w:ascii="宋体" w:hAnsi="宋体"/>
          <w:b/>
        </w:rPr>
        <w:t>3.3 投标有效期</w:t>
      </w:r>
      <w:bookmarkEnd w:id="114"/>
      <w:bookmarkEnd w:id="115"/>
      <w:bookmarkEnd w:id="116"/>
      <w:bookmarkEnd w:id="117"/>
      <w:bookmarkEnd w:id="118"/>
    </w:p>
    <w:p>
      <w:pPr>
        <w:spacing w:line="360" w:lineRule="auto"/>
        <w:ind w:firstLine="420" w:firstLineChars="200"/>
        <w:rPr>
          <w:rFonts w:ascii="宋体" w:hAnsi="宋体"/>
        </w:rPr>
      </w:pPr>
      <w:bookmarkStart w:id="119" w:name="_Toc179632568"/>
      <w:bookmarkStart w:id="120" w:name="_Toc144974518"/>
      <w:bookmarkStart w:id="121" w:name="_Toc152045550"/>
      <w:bookmarkStart w:id="122" w:name="_Toc394068380"/>
      <w:bookmarkStart w:id="123" w:name="_Toc152042326"/>
      <w:r>
        <w:rPr>
          <w:rFonts w:hint="eastAsia" w:ascii="宋体" w:hAnsi="宋体"/>
        </w:rPr>
        <w:t>3.3.1 在投标人须知前附表规定的投标有效期内，投标人不得要求撤销或修改其投标文件。</w:t>
      </w:r>
    </w:p>
    <w:p>
      <w:pPr>
        <w:spacing w:line="360" w:lineRule="auto"/>
        <w:ind w:firstLine="420" w:firstLineChars="200"/>
        <w:rPr>
          <w:rFonts w:ascii="宋体" w:hAnsi="宋体"/>
        </w:rPr>
      </w:pPr>
      <w:r>
        <w:rPr>
          <w:rFonts w:hint="eastAsia" w:ascii="宋体" w:hAnsi="宋体"/>
        </w:rPr>
        <w:t>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360" w:lineRule="auto"/>
        <w:rPr>
          <w:rFonts w:ascii="宋体" w:hAnsi="宋体"/>
          <w:b/>
        </w:rPr>
      </w:pPr>
      <w:r>
        <w:rPr>
          <w:rFonts w:hint="eastAsia" w:ascii="宋体" w:hAnsi="宋体"/>
          <w:b/>
        </w:rPr>
        <w:t>3.4 投标保证金</w:t>
      </w:r>
      <w:bookmarkEnd w:id="119"/>
      <w:bookmarkEnd w:id="120"/>
      <w:bookmarkEnd w:id="121"/>
      <w:bookmarkEnd w:id="122"/>
      <w:bookmarkEnd w:id="123"/>
    </w:p>
    <w:p>
      <w:pPr>
        <w:spacing w:line="360" w:lineRule="auto"/>
        <w:ind w:firstLine="420" w:firstLineChars="200"/>
        <w:rPr>
          <w:rFonts w:ascii="宋体" w:hAnsi="宋体"/>
        </w:rPr>
      </w:pPr>
      <w:r>
        <w:rPr>
          <w:rFonts w:hint="eastAsia" w:ascii="宋体" w:hAnsi="宋体"/>
        </w:rPr>
        <w:t>3.4.1投标人应在提交投标文件的同时，按有关规定提交本须知前附表所规定时间、数额的投标保证金，并作为其投标文件的一部分。依法必须进行招标的项目的境内投标单位，投标保证金应当从其基本帐户转出。</w:t>
      </w:r>
    </w:p>
    <w:p>
      <w:pPr>
        <w:spacing w:line="360" w:lineRule="auto"/>
        <w:ind w:firstLine="420" w:firstLineChars="200"/>
        <w:rPr>
          <w:rFonts w:ascii="宋体" w:hAnsi="宋体"/>
        </w:rPr>
      </w:pPr>
      <w:r>
        <w:rPr>
          <w:rFonts w:hint="eastAsia" w:ascii="宋体" w:hAnsi="宋体"/>
        </w:rPr>
        <w:t>3.4.2投标人应按投标须知前附表要求提交投标保证金，汇入指定账户。</w:t>
      </w:r>
    </w:p>
    <w:p>
      <w:pPr>
        <w:spacing w:line="360" w:lineRule="auto"/>
        <w:ind w:firstLine="420" w:firstLineChars="200"/>
        <w:rPr>
          <w:rFonts w:ascii="宋体" w:hAnsi="宋体"/>
        </w:rPr>
      </w:pPr>
      <w:r>
        <w:rPr>
          <w:rFonts w:hint="eastAsia" w:ascii="宋体" w:hAnsi="宋体"/>
        </w:rPr>
        <w:t>3.4.3对于未能按要求提交投标保证金的投标，招标人将视为不响应招标文件，其投标文件按无效处理。</w:t>
      </w:r>
    </w:p>
    <w:p>
      <w:pPr>
        <w:spacing w:line="360" w:lineRule="auto"/>
        <w:ind w:firstLine="420" w:firstLineChars="200"/>
        <w:rPr>
          <w:rFonts w:ascii="宋体" w:hAnsi="宋体"/>
        </w:rPr>
      </w:pPr>
      <w:r>
        <w:rPr>
          <w:rFonts w:hint="eastAsia" w:ascii="宋体" w:hAnsi="宋体"/>
        </w:rPr>
        <w:t>3.4.4由于投标人不能按时提供相关文件（相关文件包括不限于加盖公章的公司开户银行账户信息、投标保证金打款凭证加盖公章以及投标保证金退还收据）导致投标保证金不能按时退还的，投标人应当同意顺延（无息）退还投标保证金的时间。</w:t>
      </w:r>
    </w:p>
    <w:p>
      <w:pPr>
        <w:spacing w:line="360" w:lineRule="auto"/>
        <w:ind w:firstLine="420" w:firstLineChars="200"/>
        <w:rPr>
          <w:rFonts w:ascii="宋体" w:hAnsi="宋体"/>
        </w:rPr>
      </w:pPr>
      <w:r>
        <w:rPr>
          <w:rFonts w:hint="eastAsia" w:ascii="宋体" w:hAnsi="宋体"/>
        </w:rPr>
        <w:t xml:space="preserve">3.4.5有下列情形之一的，投标保证金将不予退还： </w:t>
      </w:r>
    </w:p>
    <w:p>
      <w:pPr>
        <w:spacing w:line="360" w:lineRule="auto"/>
        <w:ind w:firstLine="420" w:firstLineChars="200"/>
        <w:rPr>
          <w:rFonts w:ascii="宋体" w:hAnsi="宋体"/>
        </w:rPr>
      </w:pPr>
      <w:bookmarkStart w:id="124" w:name="_Toc152042328"/>
      <w:bookmarkStart w:id="125" w:name="_Toc144974520"/>
      <w:bookmarkStart w:id="126" w:name="_Toc394068381"/>
      <w:bookmarkStart w:id="127" w:name="_Toc152045552"/>
      <w:bookmarkStart w:id="128" w:name="_Toc179632570"/>
      <w:r>
        <w:rPr>
          <w:rFonts w:hint="eastAsia" w:ascii="宋体" w:hAnsi="宋体"/>
        </w:rPr>
        <w:t>（1）投标人在规定的投标有效期内撤销或修改其投标文件；</w:t>
      </w:r>
    </w:p>
    <w:p>
      <w:pPr>
        <w:spacing w:line="360" w:lineRule="auto"/>
        <w:ind w:firstLine="420" w:firstLineChars="200"/>
        <w:rPr>
          <w:rFonts w:ascii="宋体" w:hAnsi="宋体"/>
        </w:rPr>
      </w:pPr>
      <w:r>
        <w:rPr>
          <w:rFonts w:hint="eastAsia" w:ascii="宋体" w:hAnsi="宋体"/>
        </w:rPr>
        <w:t>（2）中标人在收到中标通知书后，无正当理由拒签合同协议书；</w:t>
      </w:r>
    </w:p>
    <w:p>
      <w:pPr>
        <w:spacing w:line="360" w:lineRule="auto"/>
        <w:ind w:firstLine="420" w:firstLineChars="200"/>
        <w:rPr>
          <w:rFonts w:ascii="宋体" w:hAnsi="宋体"/>
        </w:rPr>
      </w:pPr>
      <w:r>
        <w:rPr>
          <w:rFonts w:hint="eastAsia" w:ascii="宋体" w:hAnsi="宋体"/>
        </w:rPr>
        <w:t>（3）投标人在投标文件中提供伪造、虚假材料或信息的；</w:t>
      </w:r>
    </w:p>
    <w:p>
      <w:pPr>
        <w:spacing w:line="360" w:lineRule="auto"/>
        <w:ind w:firstLine="420" w:firstLineChars="200"/>
        <w:rPr>
          <w:rFonts w:ascii="宋体" w:hAnsi="宋体"/>
        </w:rPr>
      </w:pPr>
      <w:r>
        <w:rPr>
          <w:rFonts w:hint="eastAsia" w:ascii="宋体" w:hAnsi="宋体"/>
        </w:rPr>
        <w:t>（4）投标人与招标人、其他投标人或者采购代理机构恶意串通的；</w:t>
      </w:r>
    </w:p>
    <w:p>
      <w:pPr>
        <w:spacing w:line="360" w:lineRule="auto"/>
        <w:ind w:firstLine="420" w:firstLineChars="200"/>
        <w:rPr>
          <w:rFonts w:ascii="宋体" w:hAnsi="宋体"/>
        </w:rPr>
      </w:pPr>
      <w:r>
        <w:rPr>
          <w:rFonts w:hint="eastAsia" w:ascii="宋体" w:hAnsi="宋体"/>
        </w:rPr>
        <w:t>（5）违反政府采购法规，违反了诚实信用、公平竞争和如实告知原则，扰乱了采购程序；</w:t>
      </w:r>
    </w:p>
    <w:p>
      <w:pPr>
        <w:spacing w:line="360" w:lineRule="auto"/>
        <w:ind w:firstLine="420" w:firstLineChars="200"/>
        <w:rPr>
          <w:rFonts w:ascii="宋体" w:hAnsi="宋体"/>
        </w:rPr>
      </w:pPr>
      <w:r>
        <w:rPr>
          <w:rFonts w:hint="eastAsia" w:ascii="宋体" w:hAnsi="宋体"/>
        </w:rPr>
        <w:t>（6）提供虚假、恶意质疑投诉材料或在一年内有三次以上查无实据的质疑投诉记录；</w:t>
      </w:r>
    </w:p>
    <w:p>
      <w:pPr>
        <w:spacing w:line="360" w:lineRule="auto"/>
        <w:ind w:firstLine="420" w:firstLineChars="200"/>
        <w:rPr>
          <w:rFonts w:ascii="宋体" w:hAnsi="宋体"/>
        </w:rPr>
      </w:pPr>
      <w:r>
        <w:rPr>
          <w:rFonts w:hint="eastAsia" w:ascii="宋体" w:hAnsi="宋体"/>
        </w:rPr>
        <w:t>（7）招标文件规定的其他情形。</w:t>
      </w:r>
    </w:p>
    <w:p>
      <w:pPr>
        <w:spacing w:line="360" w:lineRule="auto"/>
        <w:rPr>
          <w:rFonts w:ascii="宋体" w:hAnsi="宋体"/>
          <w:b/>
        </w:rPr>
      </w:pPr>
      <w:r>
        <w:rPr>
          <w:rFonts w:hint="eastAsia" w:ascii="宋体" w:hAnsi="宋体"/>
          <w:b/>
        </w:rPr>
        <w:t>3.5 资格审查资料</w:t>
      </w:r>
      <w:bookmarkEnd w:id="124"/>
      <w:bookmarkEnd w:id="125"/>
      <w:bookmarkEnd w:id="126"/>
      <w:bookmarkEnd w:id="127"/>
      <w:bookmarkEnd w:id="128"/>
    </w:p>
    <w:p>
      <w:pPr>
        <w:spacing w:line="360" w:lineRule="auto"/>
        <w:rPr>
          <w:rFonts w:ascii="宋体" w:hAnsi="宋体"/>
        </w:rPr>
      </w:pPr>
      <w:r>
        <w:rPr>
          <w:rFonts w:hint="eastAsia" w:ascii="宋体" w:hAnsi="宋体"/>
          <w:b/>
        </w:rPr>
        <w:t xml:space="preserve">    </w:t>
      </w:r>
      <w:r>
        <w:rPr>
          <w:rFonts w:hint="eastAsia" w:ascii="宋体" w:hAnsi="宋体"/>
        </w:rPr>
        <w:t>3.5.1 “投标人基本情况表”应附以下资料：</w:t>
      </w:r>
    </w:p>
    <w:p>
      <w:pPr>
        <w:spacing w:line="360" w:lineRule="auto"/>
        <w:ind w:firstLine="420" w:firstLineChars="200"/>
        <w:rPr>
          <w:rFonts w:ascii="宋体" w:hAnsi="宋体" w:cs="宋体"/>
          <w:szCs w:val="21"/>
        </w:rPr>
      </w:pPr>
      <w:bookmarkStart w:id="129" w:name="_Toc144974522"/>
      <w:bookmarkStart w:id="130" w:name="_Toc152045554"/>
      <w:bookmarkStart w:id="131" w:name="_Toc394068382"/>
      <w:bookmarkStart w:id="132" w:name="_Toc152042330"/>
      <w:bookmarkStart w:id="133" w:name="_Toc179632572"/>
      <w:r>
        <w:rPr>
          <w:rFonts w:hint="eastAsia" w:ascii="宋体" w:hAnsi="宋体" w:cs="宋体"/>
          <w:szCs w:val="21"/>
        </w:rPr>
        <w:t>企业营业执照副本（营业执照三证合一只需提供营业执照）、税务登记证副本、组织机构代码证副本等资料复印件；</w:t>
      </w:r>
    </w:p>
    <w:p>
      <w:pPr>
        <w:spacing w:line="360" w:lineRule="auto"/>
        <w:ind w:firstLine="420" w:firstLineChars="200"/>
        <w:rPr>
          <w:rFonts w:ascii="宋体" w:hAnsi="宋体" w:cs="宋体"/>
          <w:szCs w:val="21"/>
        </w:rPr>
      </w:pPr>
      <w:r>
        <w:rPr>
          <w:rFonts w:hint="eastAsia" w:ascii="宋体" w:hAnsi="宋体" w:cs="宋体"/>
          <w:szCs w:val="21"/>
        </w:rPr>
        <w:t>3.5.2“近年财务状况表”</w:t>
      </w:r>
      <w:r>
        <w:rPr>
          <w:rFonts w:hint="eastAsia" w:ascii="宋体" w:hAnsi="宋体"/>
        </w:rPr>
        <w:t xml:space="preserve"> 应附以下资料：</w:t>
      </w:r>
      <w:r>
        <w:rPr>
          <w:rFonts w:hint="eastAsia" w:ascii="宋体" w:hAnsi="宋体" w:cs="宋体"/>
          <w:szCs w:val="21"/>
        </w:rPr>
        <w:t>2020年或2021度财务审计报告的复印件；</w:t>
      </w:r>
    </w:p>
    <w:p>
      <w:pPr>
        <w:spacing w:line="360" w:lineRule="auto"/>
        <w:ind w:firstLine="405"/>
        <w:jc w:val="left"/>
        <w:outlineLvl w:val="1"/>
        <w:rPr>
          <w:rFonts w:ascii="宋体" w:hAnsi="宋体" w:cs="宋体"/>
          <w:szCs w:val="21"/>
        </w:rPr>
      </w:pPr>
      <w:r>
        <w:rPr>
          <w:rFonts w:hint="eastAsia" w:ascii="宋体" w:hAnsi="宋体" w:cs="宋体"/>
          <w:szCs w:val="21"/>
        </w:rPr>
        <w:t>3.5.3“投标保证金缴纳证明”应附以下复印件：投标保证金电汇或转账凭证、开户许可证(或银行账户信息证明)的复印件；</w:t>
      </w:r>
    </w:p>
    <w:p>
      <w:pPr>
        <w:spacing w:line="360" w:lineRule="auto"/>
        <w:ind w:firstLine="405"/>
        <w:jc w:val="left"/>
        <w:outlineLvl w:val="1"/>
        <w:rPr>
          <w:rFonts w:ascii="宋体" w:hAnsi="宋体" w:cs="宋体"/>
          <w:szCs w:val="21"/>
        </w:rPr>
      </w:pPr>
      <w:r>
        <w:rPr>
          <w:rFonts w:hint="eastAsia" w:ascii="宋体" w:hAnsi="宋体" w:cs="宋体"/>
          <w:szCs w:val="21"/>
        </w:rPr>
        <w:t>注：以上资料，开标时须单独提交原件备查，未按要求提供上述资料及招标公告中要求的资料原件的按无效投标处理。</w:t>
      </w:r>
    </w:p>
    <w:p>
      <w:pPr>
        <w:spacing w:line="360" w:lineRule="auto"/>
        <w:rPr>
          <w:rFonts w:ascii="宋体" w:hAnsi="宋体"/>
          <w:b/>
        </w:rPr>
      </w:pPr>
      <w:r>
        <w:rPr>
          <w:rFonts w:hint="eastAsia" w:ascii="宋体" w:hAnsi="宋体"/>
          <w:b/>
        </w:rPr>
        <w:t>3.6投标文件的编制</w:t>
      </w:r>
      <w:bookmarkEnd w:id="129"/>
      <w:bookmarkEnd w:id="130"/>
      <w:bookmarkEnd w:id="131"/>
      <w:bookmarkEnd w:id="132"/>
      <w:bookmarkEnd w:id="133"/>
    </w:p>
    <w:p>
      <w:pPr>
        <w:spacing w:line="360" w:lineRule="auto"/>
        <w:ind w:firstLine="420" w:firstLineChars="200"/>
        <w:rPr>
          <w:rFonts w:ascii="宋体" w:hAnsi="宋体"/>
        </w:rPr>
      </w:pPr>
      <w:r>
        <w:rPr>
          <w:rFonts w:hint="eastAsia" w:ascii="宋体" w:hAnsi="宋体"/>
        </w:rPr>
        <w:t xml:space="preserve">3.6.1投标文件应按第六章 </w:t>
      </w:r>
      <w:r>
        <w:rPr>
          <w:rFonts w:hint="eastAsia" w:ascii="宋体" w:hAnsi="宋体"/>
          <w:color w:val="FF0000"/>
        </w:rPr>
        <w:t>“投标文件格式</w:t>
      </w:r>
      <w:r>
        <w:rPr>
          <w:rFonts w:hint="eastAsia" w:ascii="宋体" w:hAnsi="宋体"/>
        </w:rPr>
        <w:t>”进行编写，如有必要，可以增加附页，作为投标文件的组成部分。其中，投标函附录在满足招标文件实质性要求的基础上，可以提出比招标文件要求更有利于招标人的承诺。</w:t>
      </w:r>
    </w:p>
    <w:p>
      <w:pPr>
        <w:spacing w:line="360" w:lineRule="auto"/>
        <w:ind w:firstLine="420" w:firstLineChars="200"/>
        <w:rPr>
          <w:rFonts w:ascii="宋体" w:hAnsi="宋体"/>
        </w:rPr>
      </w:pPr>
      <w:r>
        <w:rPr>
          <w:rFonts w:hint="eastAsia" w:ascii="宋体" w:hAnsi="宋体"/>
        </w:rPr>
        <w:t>3.6.2 投标文件应当对招标文件有关运营期限、投标有效期、招标范围等实质性内容作出响应。</w:t>
      </w:r>
    </w:p>
    <w:p>
      <w:pPr>
        <w:spacing w:line="360" w:lineRule="auto"/>
        <w:ind w:firstLine="420" w:firstLineChars="200"/>
        <w:rPr>
          <w:rFonts w:ascii="宋体" w:hAnsi="宋体"/>
        </w:rPr>
      </w:pPr>
      <w:r>
        <w:rPr>
          <w:rFonts w:hint="eastAsia" w:ascii="宋体" w:hAnsi="宋体"/>
        </w:rPr>
        <w:t>3.6.3投标文件应用不褪色的材料书写或打印，投标文件封面或扉页、投标函均应加盖投标人公章并经法定代表人或其委托代理人签字或盖章，投标文件侧面应加盖骑缝章，其他部分应按第六章“投标文件格式”签署或盖章。</w:t>
      </w:r>
    </w:p>
    <w:p>
      <w:pPr>
        <w:spacing w:line="360" w:lineRule="auto"/>
        <w:ind w:firstLine="420" w:firstLineChars="200"/>
        <w:rPr>
          <w:rFonts w:ascii="宋体" w:hAnsi="宋体"/>
        </w:rPr>
      </w:pPr>
      <w:r>
        <w:rPr>
          <w:rFonts w:hint="eastAsia" w:ascii="宋体" w:hAnsi="宋体"/>
        </w:rPr>
        <w:t>投标文件应尽量避免涂改、行间插字或删除。如果出现上述情况，改动之处应加盖单位公章并由投标人的法定代表人或其授权的代理人签字确认。</w:t>
      </w:r>
    </w:p>
    <w:p>
      <w:pPr>
        <w:spacing w:line="360" w:lineRule="auto"/>
        <w:ind w:firstLine="420" w:firstLineChars="200"/>
        <w:rPr>
          <w:rFonts w:ascii="宋体" w:hAnsi="宋体"/>
        </w:rPr>
      </w:pPr>
      <w:r>
        <w:rPr>
          <w:rFonts w:hint="eastAsia" w:ascii="宋体" w:hAnsi="宋体"/>
        </w:rPr>
        <w:t>3.6.4 投标文件正本一份, 副本份数见投标人须知前附表，另提供</w:t>
      </w:r>
      <w:r>
        <w:rPr>
          <w:rFonts w:hint="eastAsia" w:ascii="宋体" w:hAnsi="宋体"/>
          <w:bCs/>
          <w:szCs w:val="21"/>
        </w:rPr>
        <w:t>电子版（U盘）一份</w:t>
      </w:r>
      <w:r>
        <w:rPr>
          <w:rFonts w:hint="eastAsia" w:ascii="宋体" w:hAnsi="宋体"/>
        </w:rPr>
        <w:t>。正本和副本的封面上应清楚地标记“正本”或“副本”的字样。当副本和正本内容不一致时，以正本为准。</w:t>
      </w:r>
    </w:p>
    <w:p>
      <w:pPr>
        <w:spacing w:line="360" w:lineRule="auto"/>
        <w:ind w:firstLine="420" w:firstLineChars="200"/>
        <w:rPr>
          <w:rFonts w:ascii="宋体" w:hAnsi="宋体"/>
        </w:rPr>
      </w:pPr>
      <w:r>
        <w:rPr>
          <w:rFonts w:hint="eastAsia" w:ascii="宋体" w:hAnsi="宋体"/>
        </w:rPr>
        <w:t>3.6.5 投标文件的正本与副本应分别装订成册，并编制目录，具体装订要求见投标人须知前附表规定。</w:t>
      </w:r>
    </w:p>
    <w:p>
      <w:pPr>
        <w:pStyle w:val="6"/>
        <w:rPr>
          <w:rFonts w:hint="eastAsia"/>
        </w:rPr>
      </w:pPr>
      <w:bookmarkStart w:id="134" w:name="_Toc394068383"/>
      <w:bookmarkStart w:id="135" w:name="_Toc353448494"/>
      <w:bookmarkStart w:id="136" w:name="_Toc152045555"/>
      <w:bookmarkStart w:id="137" w:name="_Toc152042331"/>
      <w:bookmarkStart w:id="138" w:name="_Toc144974523"/>
      <w:bookmarkStart w:id="139" w:name="_Toc473902473"/>
      <w:bookmarkStart w:id="140" w:name="_Toc179632573"/>
      <w:r>
        <w:rPr>
          <w:rFonts w:hint="eastAsia"/>
        </w:rPr>
        <w:t>4. 投标</w:t>
      </w:r>
      <w:bookmarkEnd w:id="134"/>
      <w:bookmarkEnd w:id="135"/>
      <w:bookmarkEnd w:id="136"/>
      <w:bookmarkEnd w:id="137"/>
      <w:bookmarkEnd w:id="138"/>
      <w:bookmarkEnd w:id="139"/>
      <w:bookmarkEnd w:id="140"/>
    </w:p>
    <w:p>
      <w:pPr>
        <w:spacing w:line="360" w:lineRule="auto"/>
        <w:rPr>
          <w:rFonts w:ascii="宋体" w:hAnsi="宋体"/>
          <w:b/>
        </w:rPr>
      </w:pPr>
      <w:bookmarkStart w:id="141" w:name="_Toc152045556"/>
      <w:bookmarkStart w:id="142" w:name="_Toc394068384"/>
      <w:bookmarkStart w:id="143" w:name="_Toc144974524"/>
      <w:bookmarkStart w:id="144" w:name="_Toc179632574"/>
      <w:bookmarkStart w:id="145" w:name="_Toc152042332"/>
      <w:r>
        <w:rPr>
          <w:rFonts w:hint="eastAsia" w:ascii="宋体" w:hAnsi="宋体"/>
          <w:b/>
        </w:rPr>
        <w:t>4.1 投标文件的密封和标记</w:t>
      </w:r>
      <w:bookmarkEnd w:id="141"/>
      <w:bookmarkEnd w:id="142"/>
      <w:bookmarkEnd w:id="143"/>
      <w:bookmarkEnd w:id="144"/>
      <w:bookmarkEnd w:id="145"/>
    </w:p>
    <w:p>
      <w:pPr>
        <w:spacing w:line="360" w:lineRule="auto"/>
        <w:ind w:firstLine="420" w:firstLineChars="200"/>
        <w:rPr>
          <w:rFonts w:ascii="宋体" w:hAnsi="宋体"/>
        </w:rPr>
      </w:pPr>
      <w:bookmarkStart w:id="146" w:name="_Toc152042333"/>
      <w:bookmarkStart w:id="147" w:name="_Toc394068385"/>
      <w:bookmarkStart w:id="148" w:name="_Toc152045557"/>
      <w:bookmarkStart w:id="149" w:name="_Toc144974525"/>
      <w:bookmarkStart w:id="150" w:name="_Toc179632575"/>
      <w:r>
        <w:rPr>
          <w:rFonts w:hint="eastAsia" w:ascii="宋体" w:hAnsi="宋体"/>
        </w:rPr>
        <w:t>4.1.1投标文件的正本与副本应分开包装，电子版U盘须用单独小信封密封后与正本一起包封，并在封套的封口处加盖投标人公章。</w:t>
      </w:r>
    </w:p>
    <w:p>
      <w:pPr>
        <w:spacing w:line="360" w:lineRule="auto"/>
        <w:ind w:firstLine="420" w:firstLineChars="200"/>
        <w:rPr>
          <w:rFonts w:ascii="宋体" w:hAnsi="宋体"/>
        </w:rPr>
      </w:pPr>
      <w:r>
        <w:rPr>
          <w:rFonts w:hint="eastAsia" w:ascii="宋体" w:hAnsi="宋体"/>
        </w:rPr>
        <w:t>4.1.2 投标文件的封套上应清楚地标记“正本”或“副本”字样，封套上应写明的其他内容见投标人须知前附表。</w:t>
      </w:r>
    </w:p>
    <w:p>
      <w:pPr>
        <w:spacing w:line="360" w:lineRule="auto"/>
        <w:rPr>
          <w:rFonts w:ascii="宋体" w:hAnsi="宋体"/>
          <w:b/>
        </w:rPr>
      </w:pPr>
      <w:r>
        <w:rPr>
          <w:rFonts w:hint="eastAsia" w:ascii="宋体" w:hAnsi="宋体"/>
          <w:b/>
        </w:rPr>
        <w:t>4.2 投标文件的递交</w:t>
      </w:r>
      <w:bookmarkEnd w:id="146"/>
      <w:bookmarkEnd w:id="147"/>
      <w:bookmarkEnd w:id="148"/>
      <w:bookmarkEnd w:id="149"/>
      <w:bookmarkEnd w:id="150"/>
    </w:p>
    <w:p>
      <w:pPr>
        <w:spacing w:line="360" w:lineRule="auto"/>
        <w:ind w:firstLine="420" w:firstLineChars="200"/>
        <w:rPr>
          <w:rFonts w:ascii="宋体" w:hAnsi="宋体"/>
          <w:color w:val="FF0000"/>
        </w:rPr>
      </w:pPr>
      <w:bookmarkStart w:id="151" w:name="_Toc144974526"/>
      <w:bookmarkStart w:id="152" w:name="_Toc152042334"/>
      <w:bookmarkStart w:id="153" w:name="_Toc394068386"/>
      <w:bookmarkStart w:id="154" w:name="_Toc179632576"/>
      <w:bookmarkStart w:id="155" w:name="_Toc152045558"/>
      <w:r>
        <w:rPr>
          <w:rFonts w:hint="eastAsia" w:ascii="宋体" w:hAnsi="宋体"/>
        </w:rPr>
        <w:t>4.2.</w:t>
      </w:r>
      <w:r>
        <w:rPr>
          <w:rFonts w:hint="eastAsia" w:ascii="宋体" w:hAnsi="宋体"/>
          <w:color w:val="FF0000"/>
        </w:rPr>
        <w:t>1 投标人应在本须知前附表规定的投标截止时间前递交投标文件。</w:t>
      </w:r>
    </w:p>
    <w:p>
      <w:pPr>
        <w:spacing w:line="360" w:lineRule="auto"/>
        <w:ind w:firstLine="420" w:firstLineChars="200"/>
        <w:rPr>
          <w:rFonts w:ascii="宋体" w:hAnsi="宋体"/>
          <w:color w:val="FF0000"/>
        </w:rPr>
      </w:pPr>
      <w:r>
        <w:rPr>
          <w:rFonts w:hint="eastAsia" w:ascii="宋体" w:hAnsi="宋体"/>
          <w:color w:val="FF0000"/>
        </w:rPr>
        <w:t>4.2.2 投标人递交投标文件的地点：见投标人须知前附表。</w:t>
      </w:r>
    </w:p>
    <w:p>
      <w:pPr>
        <w:spacing w:line="360" w:lineRule="auto"/>
        <w:ind w:firstLine="420" w:firstLineChars="200"/>
        <w:rPr>
          <w:rFonts w:ascii="宋体" w:hAnsi="宋体"/>
          <w:color w:val="FF0000"/>
        </w:rPr>
      </w:pPr>
      <w:r>
        <w:rPr>
          <w:rFonts w:hint="eastAsia" w:ascii="宋体" w:hAnsi="宋体"/>
          <w:color w:val="FF0000"/>
        </w:rPr>
        <w:t>4.2.3 除投标人须知前附表另有规定外，投标人所递交的投标文件不予退还。</w:t>
      </w:r>
    </w:p>
    <w:p>
      <w:pPr>
        <w:spacing w:line="360" w:lineRule="auto"/>
        <w:ind w:firstLine="420" w:firstLineChars="200"/>
        <w:rPr>
          <w:rFonts w:ascii="宋体" w:hAnsi="宋体"/>
          <w:color w:val="FF0000"/>
        </w:rPr>
      </w:pPr>
      <w:r>
        <w:rPr>
          <w:rFonts w:hint="eastAsia" w:ascii="宋体" w:hAnsi="宋体"/>
          <w:color w:val="FF0000"/>
        </w:rPr>
        <w:t>4.2.4 逾期送达的或者未送达指定地点的投标文件，招标人不予受理。</w:t>
      </w:r>
    </w:p>
    <w:p>
      <w:pPr>
        <w:spacing w:line="360" w:lineRule="auto"/>
        <w:rPr>
          <w:rFonts w:ascii="宋体" w:hAnsi="宋体"/>
          <w:b/>
        </w:rPr>
      </w:pPr>
      <w:r>
        <w:rPr>
          <w:rFonts w:hint="eastAsia" w:ascii="宋体" w:hAnsi="宋体"/>
          <w:b/>
        </w:rPr>
        <w:t>4.3 投标文件的修改与撤回</w:t>
      </w:r>
      <w:bookmarkEnd w:id="151"/>
      <w:bookmarkEnd w:id="152"/>
      <w:bookmarkEnd w:id="153"/>
      <w:bookmarkEnd w:id="154"/>
      <w:bookmarkEnd w:id="155"/>
    </w:p>
    <w:p>
      <w:pPr>
        <w:spacing w:line="360" w:lineRule="auto"/>
        <w:ind w:firstLine="420" w:firstLineChars="200"/>
        <w:rPr>
          <w:rFonts w:ascii="宋体" w:hAnsi="宋体"/>
        </w:rPr>
      </w:pPr>
      <w:r>
        <w:rPr>
          <w:rFonts w:hint="eastAsia" w:ascii="宋体" w:hAnsi="宋体"/>
        </w:rPr>
        <w:t>4.3.1 在本须知前附表规定的投标截止时间前，投标人可以修改或撤回已递交的投标文件，但应以书面形式通知招标人。</w:t>
      </w:r>
    </w:p>
    <w:p>
      <w:pPr>
        <w:spacing w:line="360" w:lineRule="auto"/>
        <w:ind w:firstLine="420" w:firstLineChars="200"/>
        <w:rPr>
          <w:rFonts w:ascii="宋体" w:hAnsi="宋体"/>
        </w:rPr>
      </w:pPr>
      <w:r>
        <w:rPr>
          <w:rFonts w:hint="eastAsia" w:ascii="宋体" w:hAnsi="宋体"/>
        </w:rPr>
        <w:t>4.3.2 投标人修改或撤回已递交投标文件的书面通知应由法定代表人或其委托代理人签字或盖章。招标人收到书面通知后，向投标人出具签收凭证。</w:t>
      </w:r>
    </w:p>
    <w:p>
      <w:pPr>
        <w:spacing w:line="360" w:lineRule="auto"/>
        <w:ind w:firstLine="420" w:firstLineChars="200"/>
        <w:rPr>
          <w:rFonts w:ascii="宋体" w:hAnsi="宋体"/>
        </w:rPr>
      </w:pPr>
      <w:r>
        <w:rPr>
          <w:rFonts w:hint="eastAsia" w:ascii="宋体" w:hAnsi="宋体"/>
        </w:rPr>
        <w:t>4.3.3 修改的内容为投标文件的组成部分。</w:t>
      </w:r>
    </w:p>
    <w:p>
      <w:pPr>
        <w:pStyle w:val="6"/>
        <w:rPr>
          <w:rFonts w:hint="eastAsia"/>
        </w:rPr>
      </w:pPr>
      <w:bookmarkStart w:id="156" w:name="_Toc144974527"/>
      <w:bookmarkStart w:id="157" w:name="_Toc473902474"/>
      <w:bookmarkStart w:id="158" w:name="_Toc394068387"/>
      <w:bookmarkStart w:id="159" w:name="_Toc179632577"/>
      <w:bookmarkStart w:id="160" w:name="_Toc152042335"/>
      <w:bookmarkStart w:id="161" w:name="_Toc353448495"/>
      <w:bookmarkStart w:id="162" w:name="_Toc152045559"/>
      <w:r>
        <w:rPr>
          <w:rFonts w:hint="eastAsia"/>
        </w:rPr>
        <w:t>5. 开标</w:t>
      </w:r>
      <w:bookmarkEnd w:id="156"/>
      <w:bookmarkEnd w:id="157"/>
      <w:bookmarkEnd w:id="158"/>
      <w:bookmarkEnd w:id="159"/>
      <w:bookmarkEnd w:id="160"/>
      <w:bookmarkEnd w:id="161"/>
      <w:bookmarkEnd w:id="162"/>
    </w:p>
    <w:p>
      <w:pPr>
        <w:spacing w:line="360" w:lineRule="auto"/>
        <w:rPr>
          <w:rFonts w:ascii="宋体" w:hAnsi="宋体"/>
          <w:b/>
        </w:rPr>
      </w:pPr>
      <w:bookmarkStart w:id="163" w:name="_Toc179632578"/>
      <w:bookmarkStart w:id="164" w:name="_Toc394068388"/>
      <w:bookmarkStart w:id="165" w:name="_Toc144974528"/>
      <w:bookmarkStart w:id="166" w:name="_Toc152045560"/>
      <w:bookmarkStart w:id="167" w:name="_Toc152042336"/>
      <w:r>
        <w:rPr>
          <w:rFonts w:hint="eastAsia" w:ascii="宋体" w:hAnsi="宋体"/>
          <w:b/>
        </w:rPr>
        <w:t>5.1 开标时间和地点</w:t>
      </w:r>
      <w:bookmarkEnd w:id="163"/>
      <w:bookmarkEnd w:id="164"/>
      <w:bookmarkEnd w:id="165"/>
      <w:bookmarkEnd w:id="166"/>
      <w:bookmarkEnd w:id="167"/>
    </w:p>
    <w:p>
      <w:pPr>
        <w:spacing w:line="360" w:lineRule="auto"/>
        <w:ind w:firstLine="420" w:firstLineChars="200"/>
        <w:rPr>
          <w:rFonts w:ascii="宋体" w:hAnsi="宋体"/>
        </w:rPr>
      </w:pPr>
      <w:r>
        <w:rPr>
          <w:rFonts w:hint="eastAsia" w:ascii="宋体" w:hAnsi="宋体"/>
        </w:rPr>
        <w:t>招标人在本须知前附表规定的投标截止时间（开标时间）和投标人须知前附表规定的地点公开开标，并邀请所有投标人的法定代表人或其委托代理人准时参加。</w:t>
      </w:r>
    </w:p>
    <w:p>
      <w:pPr>
        <w:spacing w:line="360" w:lineRule="auto"/>
        <w:rPr>
          <w:rFonts w:ascii="宋体" w:hAnsi="宋体"/>
          <w:b/>
        </w:rPr>
      </w:pPr>
      <w:bookmarkStart w:id="168" w:name="_Toc152045561"/>
      <w:bookmarkStart w:id="169" w:name="_Toc144974529"/>
      <w:bookmarkStart w:id="170" w:name="_Toc179632579"/>
      <w:bookmarkStart w:id="171" w:name="_Toc394068389"/>
      <w:bookmarkStart w:id="172" w:name="_Toc152042337"/>
      <w:r>
        <w:rPr>
          <w:rFonts w:hint="eastAsia" w:ascii="宋体" w:hAnsi="宋体"/>
          <w:b/>
        </w:rPr>
        <w:t>5.2 开标程序</w:t>
      </w:r>
      <w:bookmarkEnd w:id="168"/>
      <w:bookmarkEnd w:id="169"/>
      <w:bookmarkEnd w:id="170"/>
      <w:bookmarkEnd w:id="171"/>
      <w:bookmarkEnd w:id="172"/>
    </w:p>
    <w:p>
      <w:pPr>
        <w:spacing w:line="360" w:lineRule="auto"/>
        <w:ind w:firstLine="420" w:firstLineChars="200"/>
        <w:rPr>
          <w:rFonts w:ascii="宋体" w:hAnsi="宋体"/>
        </w:rPr>
      </w:pPr>
      <w:r>
        <w:rPr>
          <w:rFonts w:hint="eastAsia" w:ascii="宋体" w:hAnsi="宋体"/>
        </w:rPr>
        <w:t>主持人按下列程序进行开标：</w:t>
      </w:r>
    </w:p>
    <w:p>
      <w:pPr>
        <w:spacing w:line="360" w:lineRule="auto"/>
        <w:ind w:firstLine="420" w:firstLineChars="200"/>
        <w:rPr>
          <w:rFonts w:ascii="宋体" w:hAnsi="宋体"/>
        </w:rPr>
      </w:pPr>
      <w:r>
        <w:rPr>
          <w:rFonts w:hint="eastAsia" w:ascii="宋体" w:hAnsi="宋体"/>
        </w:rPr>
        <w:t>（1）宣布开标纪律；</w:t>
      </w:r>
    </w:p>
    <w:p>
      <w:pPr>
        <w:spacing w:line="360" w:lineRule="auto"/>
        <w:ind w:firstLine="420" w:firstLineChars="200"/>
        <w:rPr>
          <w:rFonts w:ascii="宋体" w:hAnsi="宋体"/>
        </w:rPr>
      </w:pPr>
      <w:r>
        <w:rPr>
          <w:rFonts w:hint="eastAsia" w:ascii="宋体" w:hAnsi="宋体"/>
        </w:rPr>
        <w:t>（2）公布在投标截止时间前递交投标文件的投标人名称，并点名确认投标人是否派人到场；</w:t>
      </w:r>
    </w:p>
    <w:p>
      <w:pPr>
        <w:spacing w:line="360" w:lineRule="auto"/>
        <w:ind w:firstLine="420" w:firstLineChars="200"/>
        <w:rPr>
          <w:rFonts w:ascii="宋体" w:hAnsi="宋体"/>
        </w:rPr>
      </w:pPr>
      <w:r>
        <w:rPr>
          <w:rFonts w:hint="eastAsia" w:ascii="宋体" w:hAnsi="宋体"/>
        </w:rPr>
        <w:t>（3）宣布开标人、唱标人、记录人、监标人等有关人员姓名；</w:t>
      </w:r>
    </w:p>
    <w:p>
      <w:pPr>
        <w:spacing w:line="360" w:lineRule="auto"/>
        <w:ind w:firstLine="420" w:firstLineChars="200"/>
        <w:rPr>
          <w:rFonts w:ascii="宋体" w:hAnsi="宋体"/>
        </w:rPr>
      </w:pPr>
      <w:r>
        <w:rPr>
          <w:rFonts w:hint="eastAsia" w:ascii="宋体" w:hAnsi="宋体"/>
        </w:rPr>
        <w:t>（4）按照投标人须知前附表规定检查投标文件的密封情况；</w:t>
      </w:r>
    </w:p>
    <w:p>
      <w:pPr>
        <w:spacing w:line="360" w:lineRule="auto"/>
        <w:ind w:firstLine="420" w:firstLineChars="200"/>
        <w:rPr>
          <w:rFonts w:ascii="宋体" w:hAnsi="宋体"/>
        </w:rPr>
      </w:pPr>
      <w:r>
        <w:rPr>
          <w:rFonts w:hint="eastAsia" w:ascii="宋体" w:hAnsi="宋体"/>
        </w:rPr>
        <w:t>（5）随机启封投标文件，公布投标人名称、投标报价、质量目标、运营期限及其他内容，并记录在案；</w:t>
      </w:r>
    </w:p>
    <w:p>
      <w:pPr>
        <w:spacing w:line="360" w:lineRule="auto"/>
        <w:ind w:firstLine="420" w:firstLineChars="200"/>
        <w:rPr>
          <w:rFonts w:ascii="宋体" w:hAnsi="宋体"/>
        </w:rPr>
      </w:pPr>
      <w:r>
        <w:rPr>
          <w:rFonts w:hint="eastAsia" w:ascii="宋体" w:hAnsi="宋体"/>
        </w:rPr>
        <w:t>（6）投标人代表、招标人代表、监标人、记录人等有关人员在开标记录上签字确认；</w:t>
      </w:r>
    </w:p>
    <w:p>
      <w:pPr>
        <w:spacing w:line="360" w:lineRule="auto"/>
        <w:ind w:firstLine="420" w:firstLineChars="200"/>
        <w:rPr>
          <w:rFonts w:ascii="宋体" w:hAnsi="宋体"/>
        </w:rPr>
      </w:pPr>
      <w:bookmarkStart w:id="173" w:name="_Toc144974530"/>
      <w:bookmarkStart w:id="174" w:name="_Toc152045562"/>
      <w:bookmarkStart w:id="175" w:name="_Toc470525482"/>
      <w:bookmarkStart w:id="176" w:name="_Toc473902475"/>
      <w:bookmarkStart w:id="177" w:name="_Toc152042338"/>
      <w:bookmarkStart w:id="178" w:name="_Toc353448496"/>
      <w:bookmarkStart w:id="179" w:name="_Toc179632580"/>
      <w:bookmarkStart w:id="180" w:name="_Toc394068390"/>
      <w:bookmarkStart w:id="181" w:name="_Toc152042340"/>
      <w:bookmarkStart w:id="182" w:name="_Toc394068392"/>
      <w:bookmarkStart w:id="183" w:name="_Toc144974532"/>
      <w:bookmarkStart w:id="184" w:name="_Toc179632582"/>
      <w:bookmarkStart w:id="185" w:name="_Toc152045564"/>
      <w:r>
        <w:rPr>
          <w:rFonts w:hint="eastAsia" w:ascii="宋体" w:hAnsi="宋体"/>
        </w:rPr>
        <w:t>6. 评标</w:t>
      </w:r>
      <w:bookmarkEnd w:id="173"/>
      <w:bookmarkEnd w:id="174"/>
      <w:bookmarkEnd w:id="175"/>
      <w:bookmarkEnd w:id="176"/>
      <w:bookmarkEnd w:id="177"/>
      <w:bookmarkEnd w:id="178"/>
      <w:bookmarkEnd w:id="179"/>
      <w:bookmarkEnd w:id="180"/>
    </w:p>
    <w:p>
      <w:pPr>
        <w:spacing w:line="360" w:lineRule="auto"/>
        <w:ind w:firstLine="420" w:firstLineChars="200"/>
        <w:rPr>
          <w:rFonts w:ascii="宋体" w:hAnsi="宋体"/>
        </w:rPr>
      </w:pPr>
      <w:bookmarkStart w:id="186" w:name="_Toc152045563"/>
      <w:bookmarkStart w:id="187" w:name="_Toc394068391"/>
      <w:bookmarkStart w:id="188" w:name="_Toc152042339"/>
      <w:bookmarkStart w:id="189" w:name="_Toc179632581"/>
      <w:bookmarkStart w:id="190" w:name="_Toc144974531"/>
      <w:r>
        <w:rPr>
          <w:rFonts w:hint="eastAsia" w:ascii="宋体" w:hAnsi="宋体"/>
        </w:rPr>
        <w:t>6.1 评标委员会</w:t>
      </w:r>
      <w:bookmarkEnd w:id="186"/>
      <w:bookmarkEnd w:id="187"/>
      <w:bookmarkEnd w:id="188"/>
      <w:bookmarkEnd w:id="189"/>
      <w:bookmarkEnd w:id="190"/>
    </w:p>
    <w:p>
      <w:pPr>
        <w:spacing w:line="360" w:lineRule="auto"/>
        <w:ind w:firstLine="420" w:firstLineChars="200"/>
        <w:rPr>
          <w:rFonts w:ascii="宋体" w:hAnsi="宋体"/>
        </w:rPr>
      </w:pPr>
      <w:r>
        <w:rPr>
          <w:rFonts w:hint="eastAsia" w:ascii="宋体" w:hAnsi="宋体"/>
        </w:rPr>
        <w:t>6.1.1评标工作由招标单位依法组建的评标委员会负责，评标委员会成员5人以上单数组成，随机选取，评委会推举一名组长。招标人招标管理人员和纪律检查人员全程监督。评标委员会对招标文件理解出现偏差或遗漏时，招标管理人员提醒和督促纠正，纪律检查人员负责评标工作秩序的维持。</w:t>
      </w:r>
    </w:p>
    <w:p>
      <w:pPr>
        <w:spacing w:line="360" w:lineRule="auto"/>
        <w:ind w:firstLine="420" w:firstLineChars="200"/>
        <w:rPr>
          <w:rFonts w:ascii="宋体" w:hAnsi="宋体"/>
        </w:rPr>
      </w:pPr>
      <w:r>
        <w:rPr>
          <w:rFonts w:hint="eastAsia" w:ascii="宋体" w:hAnsi="宋体"/>
        </w:rPr>
        <w:t>6.1.2评标委员会成员应当客观、公正地履行职责，遵守职业道德，对所提出的评审意见承担个人责任。</w:t>
      </w:r>
    </w:p>
    <w:p>
      <w:pPr>
        <w:spacing w:line="360" w:lineRule="auto"/>
        <w:ind w:firstLine="420" w:firstLineChars="200"/>
        <w:rPr>
          <w:rFonts w:ascii="宋体" w:hAnsi="宋体"/>
        </w:rPr>
      </w:pPr>
      <w:r>
        <w:rPr>
          <w:rFonts w:hint="eastAsia" w:ascii="宋体" w:hAnsi="宋体"/>
        </w:rPr>
        <w:t>评标委员会成员不得与任何投标人或者与招标结果有利害关系的人进行私下接触，不得收受投标人、中介人、其他利害关系人的财物或者其他好处。</w:t>
      </w:r>
    </w:p>
    <w:p>
      <w:pPr>
        <w:spacing w:line="360" w:lineRule="auto"/>
        <w:ind w:firstLine="420" w:firstLineChars="200"/>
        <w:rPr>
          <w:rFonts w:ascii="宋体" w:hAnsi="宋体"/>
        </w:rPr>
      </w:pPr>
      <w:r>
        <w:rPr>
          <w:rFonts w:hint="eastAsia" w:ascii="宋体" w:hAnsi="宋体"/>
        </w:rPr>
        <w:t>6.1.3在评标过程中，评标委员会发现投标人以他人的名义投标、串通投标、以行贿手段谋取中标或者以其他弄虚作假方式投标的，应向行政主管部门反映。</w:t>
      </w:r>
    </w:p>
    <w:p>
      <w:pPr>
        <w:spacing w:line="360" w:lineRule="auto"/>
        <w:rPr>
          <w:rFonts w:ascii="宋体" w:hAnsi="宋体"/>
          <w:b/>
        </w:rPr>
      </w:pPr>
      <w:r>
        <w:rPr>
          <w:rFonts w:hint="eastAsia" w:ascii="宋体" w:hAnsi="宋体"/>
          <w:b/>
        </w:rPr>
        <w:t>6.2 评标原则</w:t>
      </w:r>
      <w:bookmarkEnd w:id="181"/>
      <w:bookmarkEnd w:id="182"/>
      <w:bookmarkEnd w:id="183"/>
      <w:bookmarkEnd w:id="184"/>
      <w:bookmarkEnd w:id="185"/>
    </w:p>
    <w:p>
      <w:pPr>
        <w:spacing w:line="360" w:lineRule="auto"/>
        <w:ind w:firstLine="420" w:firstLineChars="200"/>
        <w:rPr>
          <w:rFonts w:ascii="宋体" w:hAnsi="宋体"/>
        </w:rPr>
      </w:pPr>
      <w:r>
        <w:rPr>
          <w:rFonts w:hint="eastAsia" w:ascii="宋体" w:hAnsi="宋体"/>
        </w:rPr>
        <w:t>评标活动遵循公平、公正、科学和择优的原则。</w:t>
      </w:r>
    </w:p>
    <w:p>
      <w:pPr>
        <w:spacing w:line="360" w:lineRule="auto"/>
        <w:rPr>
          <w:rFonts w:ascii="宋体" w:hAnsi="宋体"/>
          <w:b/>
        </w:rPr>
      </w:pPr>
      <w:bookmarkStart w:id="191" w:name="_Toc394068393"/>
      <w:bookmarkStart w:id="192" w:name="_Toc152045565"/>
      <w:bookmarkStart w:id="193" w:name="_Toc152042341"/>
      <w:bookmarkStart w:id="194" w:name="_Toc179632583"/>
      <w:bookmarkStart w:id="195" w:name="_Toc144974533"/>
      <w:r>
        <w:rPr>
          <w:rFonts w:hint="eastAsia" w:ascii="宋体" w:hAnsi="宋体"/>
          <w:b/>
        </w:rPr>
        <w:t>6.3 评标</w:t>
      </w:r>
      <w:bookmarkEnd w:id="191"/>
      <w:bookmarkEnd w:id="192"/>
      <w:bookmarkEnd w:id="193"/>
      <w:bookmarkEnd w:id="194"/>
      <w:bookmarkEnd w:id="195"/>
    </w:p>
    <w:p>
      <w:pPr>
        <w:spacing w:line="360" w:lineRule="auto"/>
        <w:ind w:firstLine="420" w:firstLineChars="200"/>
        <w:rPr>
          <w:rFonts w:ascii="宋体" w:hAnsi="宋体"/>
        </w:rPr>
      </w:pPr>
      <w:r>
        <w:rPr>
          <w:rFonts w:hint="eastAsia" w:ascii="宋体" w:hAnsi="宋体"/>
        </w:rPr>
        <w:t>评标委员会按照第三章“评标办法”规定的方法、评审因素、标准和程序对投标文件进行评审。第三章“评标办法”没有规定的方法、评审因素和标准，不作为评标依据。</w:t>
      </w:r>
    </w:p>
    <w:p>
      <w:pPr>
        <w:spacing w:line="360" w:lineRule="auto"/>
        <w:rPr>
          <w:rFonts w:ascii="宋体" w:hAnsi="宋体"/>
          <w:b/>
        </w:rPr>
      </w:pPr>
      <w:bookmarkStart w:id="196" w:name="_Toc394068394"/>
      <w:r>
        <w:rPr>
          <w:rFonts w:hint="eastAsia" w:ascii="宋体" w:hAnsi="宋体"/>
          <w:b/>
        </w:rPr>
        <w:t>6.4 评标过程的保密</w:t>
      </w:r>
      <w:bookmarkEnd w:id="196"/>
    </w:p>
    <w:p>
      <w:pPr>
        <w:spacing w:line="360" w:lineRule="auto"/>
        <w:ind w:firstLine="420" w:firstLineChars="200"/>
        <w:rPr>
          <w:rFonts w:ascii="宋体" w:hAnsi="宋体"/>
          <w:color w:val="FF0000"/>
        </w:rPr>
      </w:pPr>
      <w:r>
        <w:rPr>
          <w:rFonts w:hint="eastAsia" w:ascii="宋体" w:hAnsi="宋体"/>
        </w:rPr>
        <w:t>6.4.1开标后，直至授予中标人合同为止，凡属于对投标文件的审查、澄清、评价和比较有关</w:t>
      </w:r>
      <w:r>
        <w:rPr>
          <w:rFonts w:hint="eastAsia" w:ascii="宋体" w:hAnsi="宋体"/>
          <w:color w:val="FF0000"/>
        </w:rPr>
        <w:t>的资料、中标候选人的推荐情况以及与评标有关的其他任何情况,评标委员会成员和与评标活动有关的工作人员不得对任何单位和个人透露。</w:t>
      </w:r>
    </w:p>
    <w:p>
      <w:pPr>
        <w:spacing w:line="360" w:lineRule="auto"/>
        <w:ind w:firstLine="420" w:firstLineChars="200"/>
        <w:rPr>
          <w:rFonts w:ascii="宋体" w:hAnsi="宋体"/>
          <w:color w:val="FF0000"/>
        </w:rPr>
      </w:pPr>
      <w:r>
        <w:rPr>
          <w:rFonts w:hint="eastAsia" w:ascii="宋体" w:hAnsi="宋体"/>
          <w:color w:val="FF0000"/>
        </w:rPr>
        <w:t>6.4.2在投标文件的评审和比较、中标候选人推荐以及授予合同的过程中，投标人向招标人和评标委员会施加影响的任何行为，都将会导致其投标被拒绝。</w:t>
      </w:r>
    </w:p>
    <w:p>
      <w:pPr>
        <w:spacing w:line="360" w:lineRule="auto"/>
        <w:ind w:firstLine="420" w:firstLineChars="200"/>
        <w:rPr>
          <w:rFonts w:ascii="宋体" w:hAnsi="宋体"/>
          <w:color w:val="FF0000"/>
        </w:rPr>
      </w:pPr>
      <w:r>
        <w:rPr>
          <w:rFonts w:hint="eastAsia" w:ascii="宋体" w:hAnsi="宋体"/>
          <w:color w:val="FF0000"/>
        </w:rPr>
        <w:t>6.4.3中标人确定后，招标人不对未中标人就评标过程以及未能中标原因做出任何解释。未中标人不得向评标委员会组成人员或其他有关人员索问评标过程的情况和材料。</w:t>
      </w:r>
    </w:p>
    <w:p>
      <w:pPr>
        <w:spacing w:line="360" w:lineRule="auto"/>
        <w:rPr>
          <w:rFonts w:ascii="宋体" w:hAnsi="宋体"/>
          <w:b/>
        </w:rPr>
      </w:pPr>
      <w:bookmarkStart w:id="197" w:name="_Toc394068395"/>
      <w:r>
        <w:rPr>
          <w:rFonts w:hint="eastAsia" w:ascii="宋体" w:hAnsi="宋体"/>
          <w:b/>
        </w:rPr>
        <w:t>6.5 投标文件的澄清</w:t>
      </w:r>
      <w:bookmarkEnd w:id="197"/>
    </w:p>
    <w:p>
      <w:pPr>
        <w:spacing w:line="360" w:lineRule="auto"/>
        <w:ind w:firstLine="420" w:firstLineChars="200"/>
        <w:rPr>
          <w:rFonts w:ascii="宋体" w:hAnsi="宋体"/>
        </w:rPr>
      </w:pPr>
      <w:r>
        <w:rPr>
          <w:rFonts w:hint="eastAsia" w:ascii="宋体" w:hAnsi="宋体"/>
        </w:rPr>
        <w:t>为有助于投标文件的审查、评价和比较，评标委员会可以以书面形式要求投标人对投标文件含义不明确的内容作必要的澄清或说明，投标人应采用书面形式进行澄清或说明，但不得超出投标文件的范围或改变投标文件的实质性内容。属于评标委员会在评标中发现的计算错误并进行核实的修改不在此列。</w:t>
      </w:r>
    </w:p>
    <w:p>
      <w:pPr>
        <w:spacing w:line="360" w:lineRule="auto"/>
        <w:ind w:firstLine="420" w:firstLineChars="200"/>
        <w:rPr>
          <w:rFonts w:ascii="宋体" w:hAnsi="宋体"/>
        </w:rPr>
      </w:pPr>
      <w:r>
        <w:rPr>
          <w:rFonts w:hint="eastAsia" w:ascii="宋体" w:hAnsi="宋体"/>
        </w:rPr>
        <w:t>投标人拒不按照要求对投标文件进行澄清、说明或者补正的，评标委员会可以否决其投标。</w:t>
      </w:r>
    </w:p>
    <w:p>
      <w:pPr>
        <w:spacing w:line="360" w:lineRule="auto"/>
        <w:rPr>
          <w:rFonts w:ascii="宋体" w:hAnsi="宋体"/>
        </w:rPr>
      </w:pPr>
      <w:bookmarkStart w:id="198" w:name="_Toc394068396"/>
      <w:r>
        <w:rPr>
          <w:rFonts w:hint="eastAsia" w:ascii="宋体" w:hAnsi="宋体"/>
          <w:b/>
        </w:rPr>
        <w:t>6.6</w:t>
      </w:r>
      <w:r>
        <w:rPr>
          <w:rFonts w:hint="eastAsia" w:ascii="宋体" w:hAnsi="宋体"/>
        </w:rPr>
        <w:t>评标委员会应向招标人提交书面评标报告，并将评标过程中使用的文件、表格以及其他资料应当即时归还招标人。评标委员会经评审，认为所有投标都不符合招标文件要求的，可以否决所有投标。所有投标被否决后，招标人将依法重新组织招标。</w:t>
      </w:r>
      <w:bookmarkEnd w:id="198"/>
    </w:p>
    <w:p>
      <w:pPr>
        <w:pStyle w:val="6"/>
        <w:rPr>
          <w:rFonts w:hint="eastAsia"/>
        </w:rPr>
      </w:pPr>
      <w:bookmarkStart w:id="199" w:name="_Toc144974534"/>
      <w:bookmarkStart w:id="200" w:name="_Toc179632584"/>
      <w:bookmarkStart w:id="201" w:name="_Toc152042342"/>
      <w:bookmarkStart w:id="202" w:name="_Toc473902476"/>
      <w:bookmarkStart w:id="203" w:name="_Toc353448497"/>
      <w:bookmarkStart w:id="204" w:name="_Toc152045566"/>
      <w:bookmarkStart w:id="205" w:name="_Toc394068397"/>
      <w:r>
        <w:rPr>
          <w:rFonts w:hint="eastAsia"/>
        </w:rPr>
        <w:t>7. 合同授予</w:t>
      </w:r>
      <w:bookmarkEnd w:id="199"/>
      <w:bookmarkEnd w:id="200"/>
      <w:bookmarkEnd w:id="201"/>
      <w:bookmarkEnd w:id="202"/>
      <w:bookmarkEnd w:id="203"/>
      <w:bookmarkEnd w:id="204"/>
      <w:bookmarkEnd w:id="205"/>
    </w:p>
    <w:p>
      <w:pPr>
        <w:spacing w:line="360" w:lineRule="auto"/>
        <w:rPr>
          <w:rFonts w:ascii="宋体" w:hAnsi="宋体"/>
          <w:b/>
        </w:rPr>
      </w:pPr>
      <w:bookmarkStart w:id="206" w:name="_Toc144974535"/>
      <w:bookmarkStart w:id="207" w:name="_Toc152042343"/>
      <w:bookmarkStart w:id="208" w:name="_Toc394068398"/>
      <w:bookmarkStart w:id="209" w:name="_Toc179632585"/>
      <w:bookmarkStart w:id="210" w:name="_Toc152045567"/>
      <w:r>
        <w:rPr>
          <w:rFonts w:hint="eastAsia" w:ascii="宋体" w:hAnsi="宋体"/>
          <w:b/>
        </w:rPr>
        <w:t>7.1 定标方式</w:t>
      </w:r>
      <w:bookmarkEnd w:id="206"/>
      <w:bookmarkEnd w:id="207"/>
      <w:bookmarkEnd w:id="208"/>
      <w:bookmarkEnd w:id="209"/>
      <w:bookmarkEnd w:id="210"/>
    </w:p>
    <w:p>
      <w:pPr>
        <w:spacing w:line="360" w:lineRule="auto"/>
        <w:ind w:firstLine="420" w:firstLineChars="200"/>
        <w:rPr>
          <w:rFonts w:ascii="宋体" w:hAnsi="宋体"/>
          <w:color w:val="FF0000"/>
        </w:rPr>
      </w:pPr>
      <w:r>
        <w:rPr>
          <w:rFonts w:hint="eastAsia" w:ascii="宋体" w:hAnsi="宋体"/>
        </w:rPr>
        <w:t>评标委员会推荐</w:t>
      </w:r>
      <w:r>
        <w:rPr>
          <w:rFonts w:hint="eastAsia" w:ascii="宋体" w:hAnsi="宋体"/>
          <w:color w:val="FF0000"/>
        </w:rPr>
        <w:t>一至二名合格的中标候选人，并根据招标人授权确定中标人。评标报告由评标委员会全体成员签字。</w:t>
      </w:r>
    </w:p>
    <w:p>
      <w:pPr>
        <w:spacing w:line="360" w:lineRule="auto"/>
        <w:rPr>
          <w:rFonts w:ascii="宋体" w:hAnsi="宋体"/>
          <w:b/>
        </w:rPr>
      </w:pPr>
      <w:bookmarkStart w:id="211" w:name="_Toc144974536"/>
      <w:bookmarkStart w:id="212" w:name="_Toc152045568"/>
      <w:bookmarkStart w:id="213" w:name="_Toc152042344"/>
      <w:bookmarkStart w:id="214" w:name="_Toc179632586"/>
      <w:bookmarkStart w:id="215" w:name="_Toc394068399"/>
      <w:r>
        <w:rPr>
          <w:rFonts w:hint="eastAsia" w:ascii="宋体" w:hAnsi="宋体"/>
          <w:b/>
        </w:rPr>
        <w:t>7.2 中标通知</w:t>
      </w:r>
      <w:bookmarkEnd w:id="211"/>
      <w:bookmarkEnd w:id="212"/>
      <w:bookmarkEnd w:id="213"/>
      <w:bookmarkEnd w:id="214"/>
      <w:bookmarkEnd w:id="215"/>
    </w:p>
    <w:p>
      <w:pPr>
        <w:rPr>
          <w:rFonts w:hint="eastAsia" w:ascii="宋体" w:hAnsi="宋体"/>
        </w:rPr>
      </w:pPr>
      <w:bookmarkStart w:id="216" w:name="_Toc152042346"/>
      <w:bookmarkStart w:id="217" w:name="_Toc152045570"/>
      <w:bookmarkStart w:id="218" w:name="_Toc144974538"/>
      <w:bookmarkStart w:id="219" w:name="_Toc179632588"/>
      <w:bookmarkStart w:id="220" w:name="_Toc394068400"/>
      <w:r>
        <w:rPr>
          <w:rFonts w:hint="eastAsia" w:ascii="宋体" w:hAnsi="宋体"/>
        </w:rPr>
        <w:t>中标人确定后，招标人将在</w:t>
      </w:r>
      <w:r>
        <w:rPr>
          <w:rFonts w:hint="eastAsia" w:ascii="宋体" w:hAnsi="宋体" w:cs="宋体"/>
          <w:szCs w:val="21"/>
        </w:rPr>
        <w:t>安徽</w:t>
      </w:r>
      <w:r>
        <w:rPr>
          <w:rFonts w:hint="eastAsia" w:ascii="宋体" w:hAnsi="宋体" w:cs="宋体"/>
          <w:szCs w:val="21"/>
          <w:lang w:eastAsia="zh-CN"/>
        </w:rPr>
        <w:t>省</w:t>
      </w:r>
      <w:r>
        <w:rPr>
          <w:rFonts w:hint="eastAsia" w:ascii="宋体" w:hAnsi="宋体" w:cs="宋体"/>
          <w:szCs w:val="21"/>
        </w:rPr>
        <w:t>招投</w:t>
      </w:r>
      <w:r>
        <w:rPr>
          <w:rFonts w:hint="eastAsia" w:ascii="宋体" w:hAnsi="宋体" w:cs="宋体"/>
          <w:szCs w:val="21"/>
          <w:lang w:eastAsia="zh-CN"/>
        </w:rPr>
        <w:t>投</w:t>
      </w:r>
      <w:r>
        <w:rPr>
          <w:rFonts w:hint="eastAsia" w:ascii="宋体" w:hAnsi="宋体" w:cs="宋体"/>
          <w:szCs w:val="21"/>
        </w:rPr>
        <w:t>标信息网</w:t>
      </w:r>
      <w:r>
        <w:rPr>
          <w:rFonts w:hint="eastAsia" w:ascii="宋体" w:hAnsi="宋体"/>
        </w:rPr>
        <w:t>（www.ahtba.org.cn）、安徽皖北康复医院</w:t>
      </w:r>
      <w:r>
        <w:rPr>
          <w:rFonts w:hint="eastAsia" w:ascii="宋体" w:hAnsi="宋体"/>
          <w:lang w:eastAsia="zh-CN"/>
        </w:rPr>
        <w:t>网站</w:t>
      </w:r>
      <w:r>
        <w:rPr>
          <w:rFonts w:hint="eastAsia" w:ascii="宋体" w:hAnsi="宋体"/>
        </w:rPr>
        <w:t>（www. ahwbkfyy.com ） 将中标结果公示3天，无异议，发布中标公告，同时向中标人发出中标通知书。</w:t>
      </w:r>
    </w:p>
    <w:p>
      <w:pPr>
        <w:spacing w:line="360" w:lineRule="auto"/>
        <w:rPr>
          <w:rFonts w:ascii="宋体" w:hAnsi="宋体"/>
          <w:b/>
        </w:rPr>
      </w:pPr>
      <w:r>
        <w:rPr>
          <w:rFonts w:hint="eastAsia" w:ascii="宋体" w:hAnsi="宋体"/>
          <w:b/>
        </w:rPr>
        <w:t>7.3 签订合同</w:t>
      </w:r>
      <w:bookmarkEnd w:id="216"/>
      <w:bookmarkEnd w:id="217"/>
      <w:bookmarkEnd w:id="218"/>
      <w:bookmarkEnd w:id="219"/>
      <w:bookmarkEnd w:id="220"/>
    </w:p>
    <w:p>
      <w:pPr>
        <w:spacing w:line="360" w:lineRule="auto"/>
        <w:ind w:firstLine="420" w:firstLineChars="200"/>
        <w:rPr>
          <w:rFonts w:ascii="宋体" w:hAnsi="宋体"/>
          <w:color w:val="FF0000"/>
          <w:highlight w:val="none"/>
        </w:rPr>
      </w:pPr>
      <w:r>
        <w:rPr>
          <w:rFonts w:hint="eastAsia" w:ascii="宋体" w:hAnsi="宋体"/>
        </w:rPr>
        <w:t>7.3.1招标人和中标人应当自中标通知书发出之日起30天内，根据招标文件和中标人的投标文件订立书面合同。中标人无正当理由拒签合同的，招标人取消其中标资格，其投标保证金不予退还；给招标人造成的损失超过投标保证</w:t>
      </w:r>
      <w:r>
        <w:rPr>
          <w:rFonts w:hint="eastAsia" w:ascii="宋体" w:hAnsi="宋体"/>
          <w:color w:val="auto"/>
        </w:rPr>
        <w:t>金数额的，中标人还</w:t>
      </w:r>
      <w:r>
        <w:rPr>
          <w:rFonts w:hint="eastAsia" w:ascii="宋体" w:hAnsi="宋体"/>
          <w:color w:val="auto"/>
          <w:highlight w:val="none"/>
        </w:rPr>
        <w:t>应当对超过部分予以赔偿。</w:t>
      </w:r>
    </w:p>
    <w:p>
      <w:pPr>
        <w:spacing w:line="360" w:lineRule="auto"/>
        <w:ind w:firstLine="420" w:firstLineChars="200"/>
        <w:rPr>
          <w:rFonts w:ascii="宋体" w:hAnsi="宋体"/>
          <w:color w:val="FF0000"/>
          <w:highlight w:val="none"/>
        </w:rPr>
      </w:pPr>
      <w:r>
        <w:rPr>
          <w:rFonts w:hint="eastAsia" w:ascii="宋体" w:hAnsi="宋体"/>
          <w:color w:val="FF0000"/>
          <w:highlight w:val="none"/>
        </w:rPr>
        <w:t>7.3.2 发出中标通知书后，招标人无正当理由拒签合同的，招标人向中标人</w:t>
      </w:r>
      <w:r>
        <w:rPr>
          <w:rFonts w:hint="eastAsia" w:ascii="宋体" w:hAnsi="宋体"/>
          <w:color w:val="FF0000"/>
          <w:highlight w:val="none"/>
          <w:lang w:eastAsia="zh-CN"/>
        </w:rPr>
        <w:t>不予</w:t>
      </w:r>
      <w:r>
        <w:rPr>
          <w:rFonts w:hint="eastAsia" w:ascii="宋体" w:hAnsi="宋体"/>
          <w:color w:val="FF0000"/>
          <w:highlight w:val="none"/>
        </w:rPr>
        <w:t xml:space="preserve">退还投标保证金；给中标人造成损失的，还应当赔偿损失。 </w:t>
      </w:r>
    </w:p>
    <w:p>
      <w:pPr>
        <w:pStyle w:val="6"/>
        <w:rPr>
          <w:rFonts w:hint="eastAsia"/>
        </w:rPr>
      </w:pPr>
      <w:bookmarkStart w:id="221" w:name="_Toc152045571"/>
      <w:bookmarkStart w:id="222" w:name="_Toc353448498"/>
      <w:bookmarkStart w:id="223" w:name="_Toc473902477"/>
      <w:bookmarkStart w:id="224" w:name="_Toc394068401"/>
      <w:bookmarkStart w:id="225" w:name="_Toc152042347"/>
      <w:bookmarkStart w:id="226" w:name="_Toc179632589"/>
      <w:bookmarkStart w:id="227" w:name="_Toc144974539"/>
      <w:r>
        <w:rPr>
          <w:rFonts w:hint="eastAsia"/>
        </w:rPr>
        <w:t>8. 重新采购或招标</w:t>
      </w:r>
      <w:bookmarkEnd w:id="221"/>
      <w:bookmarkEnd w:id="222"/>
      <w:bookmarkEnd w:id="223"/>
      <w:bookmarkEnd w:id="224"/>
      <w:bookmarkEnd w:id="225"/>
      <w:bookmarkEnd w:id="226"/>
      <w:bookmarkEnd w:id="227"/>
    </w:p>
    <w:p>
      <w:pPr>
        <w:spacing w:line="360" w:lineRule="auto"/>
        <w:ind w:firstLine="420" w:firstLineChars="200"/>
        <w:rPr>
          <w:rFonts w:ascii="宋体" w:hAnsi="宋体"/>
          <w:color w:val="FF0000"/>
        </w:rPr>
      </w:pPr>
      <w:r>
        <w:rPr>
          <w:rFonts w:hint="eastAsia" w:ascii="宋体" w:hAnsi="宋体"/>
          <w:color w:val="FF0000"/>
        </w:rPr>
        <w:t>在投标截止时间前提交有效投标文件的投标人，或开标后符合资格条件的投标人，或对招标文件实质性条款做出响应的投标人不足3家的，重新组织招标活动。</w:t>
      </w:r>
    </w:p>
    <w:p>
      <w:pPr>
        <w:pStyle w:val="6"/>
        <w:rPr>
          <w:rFonts w:hint="eastAsia"/>
        </w:rPr>
      </w:pPr>
      <w:bookmarkStart w:id="228" w:name="_Toc152045574"/>
      <w:bookmarkStart w:id="229" w:name="_Toc144974542"/>
      <w:bookmarkStart w:id="230" w:name="_Toc353448499"/>
      <w:bookmarkStart w:id="231" w:name="_Toc394068404"/>
      <w:bookmarkStart w:id="232" w:name="_Toc152042350"/>
      <w:bookmarkStart w:id="233" w:name="_Toc473902478"/>
      <w:bookmarkStart w:id="234" w:name="_Toc179632592"/>
      <w:r>
        <w:rPr>
          <w:rFonts w:hint="eastAsia"/>
        </w:rPr>
        <w:t>9. 纪律和监督</w:t>
      </w:r>
      <w:bookmarkEnd w:id="228"/>
      <w:bookmarkEnd w:id="229"/>
      <w:bookmarkEnd w:id="230"/>
      <w:bookmarkEnd w:id="231"/>
      <w:bookmarkEnd w:id="232"/>
      <w:bookmarkEnd w:id="233"/>
      <w:bookmarkEnd w:id="234"/>
    </w:p>
    <w:p>
      <w:pPr>
        <w:spacing w:line="360" w:lineRule="auto"/>
        <w:rPr>
          <w:rFonts w:ascii="宋体" w:hAnsi="宋体"/>
          <w:b/>
        </w:rPr>
      </w:pPr>
      <w:bookmarkStart w:id="235" w:name="_Toc152045575"/>
      <w:bookmarkStart w:id="236" w:name="_Toc179632593"/>
      <w:bookmarkStart w:id="237" w:name="_Toc394068405"/>
      <w:bookmarkStart w:id="238" w:name="_Toc152042351"/>
      <w:bookmarkStart w:id="239" w:name="_Toc144974543"/>
      <w:r>
        <w:rPr>
          <w:rFonts w:hint="eastAsia" w:ascii="宋体" w:hAnsi="宋体"/>
          <w:b/>
        </w:rPr>
        <w:t>9.1 对招标人的纪律要求</w:t>
      </w:r>
      <w:bookmarkEnd w:id="235"/>
      <w:bookmarkEnd w:id="236"/>
      <w:bookmarkEnd w:id="237"/>
      <w:bookmarkEnd w:id="238"/>
      <w:bookmarkEnd w:id="239"/>
    </w:p>
    <w:p>
      <w:pPr>
        <w:spacing w:line="360" w:lineRule="auto"/>
        <w:ind w:firstLine="420" w:firstLineChars="200"/>
        <w:rPr>
          <w:rFonts w:ascii="宋体" w:hAnsi="宋体"/>
        </w:rPr>
      </w:pPr>
      <w:r>
        <w:rPr>
          <w:rFonts w:hint="eastAsia" w:ascii="宋体" w:hAnsi="宋体"/>
        </w:rPr>
        <w:t>招标人不得泄漏招标投标活动中应当保密的情况和资料，不得与投标人串通损害国家利益、社会公共利益或者他人合法权益。</w:t>
      </w:r>
    </w:p>
    <w:p>
      <w:pPr>
        <w:spacing w:line="360" w:lineRule="auto"/>
        <w:rPr>
          <w:rFonts w:ascii="宋体" w:hAnsi="宋体"/>
          <w:b/>
        </w:rPr>
      </w:pPr>
      <w:bookmarkStart w:id="240" w:name="_Toc152045576"/>
      <w:bookmarkStart w:id="241" w:name="_Toc152042352"/>
      <w:bookmarkStart w:id="242" w:name="_Toc144974544"/>
      <w:bookmarkStart w:id="243" w:name="_Toc179632594"/>
      <w:bookmarkStart w:id="244" w:name="_Toc394068406"/>
      <w:r>
        <w:rPr>
          <w:rFonts w:hint="eastAsia" w:ascii="宋体" w:hAnsi="宋体"/>
          <w:b/>
        </w:rPr>
        <w:t>9.2 对投标人的纪律要求</w:t>
      </w:r>
      <w:bookmarkEnd w:id="240"/>
      <w:bookmarkEnd w:id="241"/>
      <w:bookmarkEnd w:id="242"/>
      <w:bookmarkEnd w:id="243"/>
      <w:bookmarkEnd w:id="244"/>
    </w:p>
    <w:p>
      <w:pPr>
        <w:spacing w:line="360" w:lineRule="auto"/>
        <w:ind w:firstLine="420" w:firstLineChars="200"/>
        <w:rPr>
          <w:rFonts w:ascii="宋体" w:hAnsi="宋体"/>
        </w:rPr>
      </w:pPr>
      <w:r>
        <w:rPr>
          <w:rFonts w:hint="eastAsia" w:ascii="宋体" w:hAnsi="宋体"/>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rPr>
          <w:rFonts w:ascii="宋体" w:hAnsi="宋体"/>
          <w:b/>
        </w:rPr>
      </w:pPr>
      <w:bookmarkStart w:id="245" w:name="_Toc179632595"/>
      <w:bookmarkStart w:id="246" w:name="_Toc144974545"/>
      <w:bookmarkStart w:id="247" w:name="_Toc394068407"/>
      <w:bookmarkStart w:id="248" w:name="_Toc152042353"/>
      <w:bookmarkStart w:id="249" w:name="_Toc152045577"/>
      <w:r>
        <w:rPr>
          <w:rFonts w:hint="eastAsia" w:ascii="宋体" w:hAnsi="宋体"/>
          <w:b/>
        </w:rPr>
        <w:t>9.3 对评标委员会成员的纪律要求</w:t>
      </w:r>
      <w:bookmarkEnd w:id="245"/>
      <w:bookmarkEnd w:id="246"/>
      <w:bookmarkEnd w:id="247"/>
      <w:bookmarkEnd w:id="248"/>
      <w:bookmarkEnd w:id="249"/>
    </w:p>
    <w:p>
      <w:pPr>
        <w:spacing w:line="360" w:lineRule="auto"/>
        <w:ind w:firstLine="420" w:firstLineChars="200"/>
        <w:rPr>
          <w:rFonts w:ascii="宋体" w:hAnsi="宋体"/>
        </w:rPr>
      </w:pPr>
      <w:r>
        <w:rPr>
          <w:rFonts w:hint="eastAsia" w:ascii="宋体" w:hAnsi="宋体"/>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rPr>
          <w:rFonts w:ascii="宋体" w:hAnsi="宋体"/>
          <w:b/>
        </w:rPr>
      </w:pPr>
      <w:bookmarkStart w:id="250" w:name="_Toc152042354"/>
      <w:bookmarkStart w:id="251" w:name="_Toc394068408"/>
      <w:bookmarkStart w:id="252" w:name="_Toc179632596"/>
      <w:bookmarkStart w:id="253" w:name="_Toc152045578"/>
      <w:bookmarkStart w:id="254" w:name="_Toc144974546"/>
      <w:r>
        <w:rPr>
          <w:rFonts w:hint="eastAsia" w:ascii="宋体" w:hAnsi="宋体"/>
          <w:b/>
        </w:rPr>
        <w:t>9.4 对与评标活动有关的工作人员的纪律要求</w:t>
      </w:r>
      <w:bookmarkEnd w:id="250"/>
      <w:bookmarkEnd w:id="251"/>
      <w:bookmarkEnd w:id="252"/>
      <w:bookmarkEnd w:id="253"/>
    </w:p>
    <w:p>
      <w:pPr>
        <w:spacing w:line="360" w:lineRule="auto"/>
        <w:ind w:firstLine="420" w:firstLineChars="200"/>
        <w:rPr>
          <w:rFonts w:ascii="宋体" w:hAnsi="宋体"/>
        </w:rPr>
      </w:pPr>
      <w:bookmarkStart w:id="255" w:name="_Toc152042355"/>
      <w:r>
        <w:rPr>
          <w:rFonts w:hint="eastAsia" w:ascii="宋体" w:hAnsi="宋体"/>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55"/>
    </w:p>
    <w:p>
      <w:pPr>
        <w:spacing w:line="360" w:lineRule="auto"/>
        <w:rPr>
          <w:rFonts w:ascii="宋体" w:hAnsi="宋体"/>
          <w:b/>
        </w:rPr>
      </w:pPr>
      <w:bookmarkStart w:id="256" w:name="_Toc152042356"/>
      <w:bookmarkStart w:id="257" w:name="_Toc394068409"/>
      <w:bookmarkStart w:id="258" w:name="_Toc152045579"/>
      <w:bookmarkStart w:id="259" w:name="_Toc179632597"/>
      <w:r>
        <w:rPr>
          <w:rFonts w:hint="eastAsia" w:ascii="宋体" w:hAnsi="宋体"/>
          <w:b/>
        </w:rPr>
        <w:t>9.5 质疑和投诉</w:t>
      </w:r>
      <w:bookmarkEnd w:id="254"/>
      <w:bookmarkEnd w:id="256"/>
      <w:bookmarkEnd w:id="257"/>
      <w:bookmarkEnd w:id="258"/>
      <w:bookmarkEnd w:id="259"/>
    </w:p>
    <w:p>
      <w:pPr>
        <w:spacing w:line="360" w:lineRule="auto"/>
        <w:ind w:firstLine="420" w:firstLineChars="200"/>
        <w:rPr>
          <w:rFonts w:ascii="宋体" w:hAnsi="宋体"/>
        </w:rPr>
      </w:pPr>
      <w:bookmarkStart w:id="260" w:name="_Toc144974547"/>
      <w:bookmarkStart w:id="261" w:name="_Toc179632598"/>
      <w:bookmarkStart w:id="262" w:name="_Toc353448500"/>
      <w:bookmarkStart w:id="263" w:name="_Toc152045580"/>
      <w:bookmarkStart w:id="264" w:name="_Toc394068410"/>
      <w:bookmarkStart w:id="265" w:name="_Toc152042357"/>
      <w:r>
        <w:rPr>
          <w:rFonts w:ascii="宋体" w:hAnsi="宋体"/>
        </w:rPr>
        <w:t>供应商认为采购文件、采购过程和中标、成交结果使自己的权益受到损害的，可以在知道或者应知其权益受到损害之日起七个工作日内，以书面形式向采购人提出质疑。采购人应当在收到供应商的书面质疑后七个工作日内作出答复，并以书面形式通知质疑供应商和其他有关供应商，但答复的内容不得涉及商业秘密。</w:t>
      </w:r>
    </w:p>
    <w:p>
      <w:pPr>
        <w:pStyle w:val="6"/>
        <w:rPr>
          <w:rFonts w:hint="eastAsia"/>
        </w:rPr>
      </w:pPr>
      <w:bookmarkStart w:id="266" w:name="_Toc473902479"/>
      <w:r>
        <w:rPr>
          <w:rFonts w:hint="eastAsia"/>
        </w:rPr>
        <w:t>10. 需要补充的其他内容</w:t>
      </w:r>
      <w:bookmarkEnd w:id="260"/>
      <w:bookmarkEnd w:id="261"/>
      <w:bookmarkEnd w:id="262"/>
      <w:bookmarkEnd w:id="263"/>
      <w:bookmarkEnd w:id="264"/>
      <w:bookmarkEnd w:id="265"/>
      <w:bookmarkEnd w:id="266"/>
    </w:p>
    <w:p>
      <w:pPr>
        <w:spacing w:line="360" w:lineRule="auto"/>
        <w:ind w:firstLine="420" w:firstLineChars="200"/>
        <w:rPr>
          <w:rFonts w:ascii="宋体" w:hAnsi="宋体"/>
        </w:rPr>
      </w:pPr>
      <w:r>
        <w:rPr>
          <w:rFonts w:hint="eastAsia" w:ascii="宋体" w:hAnsi="宋体"/>
        </w:rPr>
        <w:t>需要补充的其他内容：见投标人须知前附表。</w:t>
      </w:r>
    </w:p>
    <w:p>
      <w:pPr>
        <w:pStyle w:val="5"/>
        <w:rPr>
          <w:color w:val="0070C0"/>
        </w:rPr>
      </w:pPr>
      <w:bookmarkStart w:id="267" w:name="_Toc473902480"/>
      <w:bookmarkStart w:id="268" w:name="_Toc394068411"/>
      <w:r>
        <w:rPr>
          <w:rFonts w:hint="eastAsia"/>
          <w:color w:val="0070C0"/>
        </w:rPr>
        <w:t>第三章 评标办法</w:t>
      </w:r>
      <w:bookmarkEnd w:id="267"/>
      <w:bookmarkEnd w:id="268"/>
    </w:p>
    <w:p>
      <w:pPr>
        <w:pStyle w:val="6"/>
        <w:rPr>
          <w:rFonts w:hint="eastAsia"/>
          <w:color w:val="0070C0"/>
        </w:rPr>
      </w:pPr>
      <w:bookmarkStart w:id="269" w:name="_Toc353448508"/>
      <w:bookmarkStart w:id="270" w:name="_Toc394068412"/>
      <w:bookmarkStart w:id="271" w:name="_Toc473902481"/>
      <w:r>
        <w:rPr>
          <w:rFonts w:hint="eastAsia"/>
          <w:color w:val="0070C0"/>
        </w:rPr>
        <w:t>一、总则</w:t>
      </w:r>
      <w:bookmarkEnd w:id="269"/>
      <w:bookmarkEnd w:id="270"/>
      <w:bookmarkEnd w:id="271"/>
    </w:p>
    <w:p>
      <w:pPr>
        <w:spacing w:line="360" w:lineRule="auto"/>
        <w:ind w:firstLine="420" w:firstLineChars="200"/>
        <w:rPr>
          <w:rFonts w:ascii="宋体" w:hAnsi="宋体"/>
          <w:b/>
          <w:color w:val="0070C0"/>
        </w:rPr>
      </w:pPr>
      <w:bookmarkStart w:id="272" w:name="_Toc394068413"/>
      <w:r>
        <w:rPr>
          <w:rFonts w:hint="eastAsia" w:ascii="宋体" w:hAnsi="宋体"/>
          <w:b/>
          <w:color w:val="0070C0"/>
        </w:rPr>
        <w:t>（一）评标原则</w:t>
      </w:r>
      <w:bookmarkEnd w:id="272"/>
    </w:p>
    <w:p>
      <w:pPr>
        <w:spacing w:line="360" w:lineRule="auto"/>
        <w:ind w:firstLine="420" w:firstLineChars="200"/>
        <w:rPr>
          <w:rFonts w:ascii="宋体" w:hAnsi="宋体"/>
          <w:color w:val="0070C0"/>
        </w:rPr>
      </w:pPr>
      <w:r>
        <w:rPr>
          <w:rFonts w:hint="eastAsia" w:ascii="宋体" w:hAnsi="宋体"/>
          <w:color w:val="0070C0"/>
        </w:rPr>
        <w:t>1、公平、公正、科学和择优；</w:t>
      </w:r>
    </w:p>
    <w:p>
      <w:pPr>
        <w:spacing w:line="360" w:lineRule="auto"/>
        <w:ind w:firstLine="420" w:firstLineChars="200"/>
        <w:rPr>
          <w:rFonts w:ascii="宋体" w:hAnsi="宋体"/>
          <w:color w:val="0070C0"/>
        </w:rPr>
      </w:pPr>
      <w:r>
        <w:rPr>
          <w:rFonts w:hint="eastAsia" w:ascii="宋体" w:hAnsi="宋体"/>
          <w:color w:val="0070C0"/>
        </w:rPr>
        <w:t>2、依法评标、严格保密；</w:t>
      </w:r>
    </w:p>
    <w:p>
      <w:pPr>
        <w:spacing w:line="360" w:lineRule="auto"/>
        <w:ind w:firstLine="420" w:firstLineChars="200"/>
        <w:rPr>
          <w:rFonts w:ascii="宋体" w:hAnsi="宋体"/>
          <w:color w:val="0070C0"/>
        </w:rPr>
      </w:pPr>
      <w:r>
        <w:rPr>
          <w:rFonts w:hint="eastAsia" w:ascii="宋体" w:hAnsi="宋体"/>
          <w:color w:val="0070C0"/>
        </w:rPr>
        <w:t>3、鼓励充分竞争，反对不正当竞争；</w:t>
      </w:r>
    </w:p>
    <w:p>
      <w:pPr>
        <w:spacing w:line="360" w:lineRule="auto"/>
        <w:ind w:firstLine="420" w:firstLineChars="200"/>
        <w:rPr>
          <w:rFonts w:ascii="宋体" w:hAnsi="宋体"/>
          <w:color w:val="0070C0"/>
        </w:rPr>
      </w:pPr>
      <w:r>
        <w:rPr>
          <w:rFonts w:hint="eastAsia" w:ascii="宋体" w:hAnsi="宋体"/>
          <w:color w:val="0070C0"/>
        </w:rPr>
        <w:t>4、定性的结论由评标委员会按少数服从多数的原则，以记名投票的方式决定。</w:t>
      </w:r>
    </w:p>
    <w:p>
      <w:pPr>
        <w:spacing w:line="360" w:lineRule="auto"/>
        <w:ind w:firstLine="420" w:firstLineChars="200"/>
        <w:rPr>
          <w:rFonts w:ascii="宋体" w:hAnsi="宋体"/>
          <w:b/>
          <w:color w:val="0070C0"/>
        </w:rPr>
      </w:pPr>
      <w:bookmarkStart w:id="273" w:name="_Toc394068414"/>
      <w:r>
        <w:rPr>
          <w:rFonts w:hint="eastAsia" w:ascii="宋体" w:hAnsi="宋体"/>
          <w:b/>
          <w:color w:val="0070C0"/>
        </w:rPr>
        <w:t>（二）评标监督</w:t>
      </w:r>
      <w:bookmarkEnd w:id="273"/>
    </w:p>
    <w:p>
      <w:pPr>
        <w:spacing w:line="360" w:lineRule="auto"/>
        <w:ind w:firstLine="420" w:firstLineChars="200"/>
        <w:rPr>
          <w:rFonts w:ascii="宋体" w:hAnsi="宋体"/>
          <w:color w:val="0070C0"/>
        </w:rPr>
      </w:pPr>
      <w:r>
        <w:rPr>
          <w:rFonts w:hint="eastAsia" w:ascii="宋体" w:hAnsi="宋体"/>
          <w:color w:val="0070C0"/>
        </w:rPr>
        <w:t>招标人接受监督机构对本招标工程招标活动依法实施的监督。</w:t>
      </w:r>
    </w:p>
    <w:p>
      <w:pPr>
        <w:pStyle w:val="6"/>
        <w:rPr>
          <w:rFonts w:hint="eastAsia"/>
          <w:color w:val="0070C0"/>
        </w:rPr>
      </w:pPr>
      <w:bookmarkStart w:id="274" w:name="_Toc473902482"/>
      <w:bookmarkStart w:id="275" w:name="_Toc394068415"/>
      <w:bookmarkStart w:id="276" w:name="_Toc353448509"/>
      <w:r>
        <w:rPr>
          <w:rFonts w:hint="eastAsia"/>
          <w:color w:val="0070C0"/>
        </w:rPr>
        <w:t>二、评标程序</w:t>
      </w:r>
      <w:bookmarkEnd w:id="274"/>
      <w:bookmarkEnd w:id="275"/>
      <w:bookmarkEnd w:id="276"/>
    </w:p>
    <w:p>
      <w:pPr>
        <w:spacing w:line="360" w:lineRule="auto"/>
        <w:ind w:firstLine="420" w:firstLineChars="200"/>
        <w:rPr>
          <w:rFonts w:ascii="宋体" w:hAnsi="宋体"/>
          <w:b/>
          <w:color w:val="0070C0"/>
        </w:rPr>
      </w:pPr>
      <w:bookmarkStart w:id="277" w:name="_Toc394068416"/>
      <w:r>
        <w:rPr>
          <w:rFonts w:hint="eastAsia" w:ascii="宋体" w:hAnsi="宋体"/>
          <w:b/>
          <w:color w:val="0070C0"/>
        </w:rPr>
        <w:t>（一）评标程序</w:t>
      </w:r>
      <w:bookmarkEnd w:id="277"/>
    </w:p>
    <w:p>
      <w:pPr>
        <w:spacing w:line="360" w:lineRule="auto"/>
        <w:ind w:firstLine="420" w:firstLineChars="200"/>
        <w:rPr>
          <w:rFonts w:ascii="宋体" w:hAnsi="宋体"/>
          <w:color w:val="0070C0"/>
        </w:rPr>
      </w:pPr>
      <w:r>
        <w:rPr>
          <w:rFonts w:hint="eastAsia" w:ascii="宋体" w:hAnsi="宋体"/>
          <w:color w:val="0070C0"/>
        </w:rPr>
        <w:t>评标委员会按照下面的步骤进行评标：</w:t>
      </w:r>
    </w:p>
    <w:p>
      <w:pPr>
        <w:spacing w:line="360" w:lineRule="auto"/>
        <w:ind w:firstLine="420" w:firstLineChars="200"/>
        <w:rPr>
          <w:rFonts w:ascii="宋体" w:hAnsi="宋体"/>
          <w:color w:val="0070C0"/>
        </w:rPr>
      </w:pPr>
      <w:r>
        <w:rPr>
          <w:rFonts w:hint="eastAsia" w:ascii="宋体" w:hAnsi="宋体"/>
          <w:color w:val="0070C0"/>
        </w:rPr>
        <w:t>1、</w:t>
      </w:r>
      <w:r>
        <w:rPr>
          <w:rFonts w:ascii="宋体" w:hAnsi="宋体"/>
          <w:color w:val="0070C0"/>
        </w:rPr>
        <w:t>评标委员会成员签到，以证明其出席</w:t>
      </w:r>
      <w:r>
        <w:rPr>
          <w:rFonts w:hint="eastAsia" w:ascii="宋体" w:hAnsi="宋体"/>
          <w:color w:val="0070C0"/>
        </w:rPr>
        <w:t>；</w:t>
      </w:r>
    </w:p>
    <w:p>
      <w:pPr>
        <w:spacing w:line="360" w:lineRule="auto"/>
        <w:ind w:firstLine="420" w:firstLineChars="200"/>
        <w:rPr>
          <w:rFonts w:ascii="宋体" w:hAnsi="宋体"/>
          <w:color w:val="0070C0"/>
        </w:rPr>
      </w:pPr>
      <w:r>
        <w:rPr>
          <w:rFonts w:hint="eastAsia" w:ascii="宋体" w:hAnsi="宋体"/>
          <w:color w:val="0070C0"/>
        </w:rPr>
        <w:t>2、选举评标委员会主任；</w:t>
      </w:r>
    </w:p>
    <w:p>
      <w:pPr>
        <w:spacing w:line="360" w:lineRule="auto"/>
        <w:ind w:firstLine="420" w:firstLineChars="200"/>
        <w:rPr>
          <w:rFonts w:ascii="宋体" w:hAnsi="宋体"/>
          <w:color w:val="0070C0"/>
        </w:rPr>
      </w:pPr>
      <w:r>
        <w:rPr>
          <w:rFonts w:ascii="宋体" w:hAnsi="宋体"/>
          <w:color w:val="0070C0"/>
        </w:rPr>
        <w:t>评标委员会首先应推选一名评标委员会主任，评标委员会主任负责评标活动的组织领导工作。</w:t>
      </w:r>
    </w:p>
    <w:p>
      <w:pPr>
        <w:spacing w:line="360" w:lineRule="auto"/>
        <w:ind w:firstLine="420" w:firstLineChars="200"/>
        <w:rPr>
          <w:rFonts w:ascii="宋体" w:hAnsi="宋体"/>
          <w:color w:val="0070C0"/>
        </w:rPr>
      </w:pPr>
      <w:r>
        <w:rPr>
          <w:rFonts w:hint="eastAsia" w:ascii="宋体" w:hAnsi="宋体"/>
          <w:color w:val="0070C0"/>
        </w:rPr>
        <w:t>3、</w:t>
      </w:r>
      <w:r>
        <w:rPr>
          <w:rFonts w:ascii="宋体" w:hAnsi="宋体"/>
          <w:color w:val="0070C0"/>
        </w:rPr>
        <w:t>熟悉相关文件资料</w:t>
      </w:r>
      <w:r>
        <w:rPr>
          <w:rFonts w:hint="eastAsia" w:ascii="宋体" w:hAnsi="宋体"/>
          <w:color w:val="0070C0"/>
        </w:rPr>
        <w:t>；</w:t>
      </w:r>
    </w:p>
    <w:p>
      <w:pPr>
        <w:spacing w:line="360" w:lineRule="auto"/>
        <w:ind w:firstLine="420" w:firstLineChars="200"/>
        <w:rPr>
          <w:rFonts w:ascii="宋体" w:hAnsi="宋体"/>
          <w:color w:val="0070C0"/>
        </w:rPr>
      </w:pPr>
      <w:r>
        <w:rPr>
          <w:rFonts w:hint="eastAsia" w:ascii="宋体" w:hAnsi="宋体"/>
          <w:color w:val="0070C0"/>
        </w:rPr>
        <w:t>（1）</w:t>
      </w:r>
      <w:r>
        <w:rPr>
          <w:rFonts w:ascii="宋体" w:hAnsi="宋体"/>
          <w:color w:val="0070C0"/>
        </w:rPr>
        <w:t>评标委员会主任应组织评标委员会成员认真研究招标文件，了解和熟悉招标的目的、招标范围、主要合同条件、招标项目的技术标准和工期要求，掌握评标标准和方法，熟悉本办法中包括的评标表格的使用</w:t>
      </w:r>
      <w:r>
        <w:rPr>
          <w:rFonts w:hint="eastAsia" w:ascii="宋体" w:hAnsi="宋体"/>
          <w:color w:val="0070C0"/>
        </w:rPr>
        <w:t>。</w:t>
      </w:r>
      <w:r>
        <w:rPr>
          <w:rFonts w:ascii="宋体" w:hAnsi="宋体"/>
          <w:color w:val="0070C0"/>
        </w:rPr>
        <w:t>如果本办法所附的表格不能满足评标所需时，评标委员会应补充编制评标所需的表格</w:t>
      </w:r>
      <w:r>
        <w:rPr>
          <w:rFonts w:hint="eastAsia" w:ascii="宋体" w:hAnsi="宋体"/>
          <w:color w:val="0070C0"/>
        </w:rPr>
        <w:t>。</w:t>
      </w:r>
    </w:p>
    <w:p>
      <w:pPr>
        <w:spacing w:line="360" w:lineRule="auto"/>
        <w:ind w:firstLine="420" w:firstLineChars="200"/>
        <w:rPr>
          <w:rFonts w:ascii="宋体" w:hAnsi="宋体"/>
          <w:color w:val="0070C0"/>
        </w:rPr>
      </w:pPr>
      <w:r>
        <w:rPr>
          <w:rFonts w:hint="eastAsia" w:ascii="宋体" w:hAnsi="宋体"/>
          <w:color w:val="0070C0"/>
        </w:rPr>
        <w:t>招标文件及</w:t>
      </w:r>
      <w:r>
        <w:rPr>
          <w:rFonts w:ascii="宋体" w:hAnsi="宋体"/>
          <w:color w:val="0070C0"/>
        </w:rPr>
        <w:t>本办法中未规定的标准和方法不得作为评标的依据。</w:t>
      </w:r>
    </w:p>
    <w:p>
      <w:pPr>
        <w:spacing w:line="360" w:lineRule="auto"/>
        <w:ind w:firstLine="420" w:firstLineChars="200"/>
        <w:rPr>
          <w:rFonts w:ascii="宋体" w:hAnsi="宋体"/>
          <w:color w:val="0070C0"/>
        </w:rPr>
      </w:pPr>
      <w:r>
        <w:rPr>
          <w:rFonts w:hint="eastAsia" w:ascii="宋体" w:hAnsi="宋体"/>
          <w:color w:val="0070C0"/>
        </w:rPr>
        <w:t>（2）</w:t>
      </w:r>
      <w:r>
        <w:rPr>
          <w:rFonts w:ascii="宋体" w:hAnsi="宋体"/>
          <w:color w:val="0070C0"/>
        </w:rPr>
        <w:t>招标人应向评标委员会提供评标所需的招标文件</w:t>
      </w:r>
      <w:r>
        <w:rPr>
          <w:rFonts w:hint="eastAsia" w:ascii="宋体" w:hAnsi="宋体"/>
          <w:color w:val="0070C0"/>
        </w:rPr>
        <w:t>。</w:t>
      </w:r>
    </w:p>
    <w:p>
      <w:pPr>
        <w:spacing w:line="360" w:lineRule="auto"/>
        <w:ind w:firstLine="420" w:firstLineChars="200"/>
        <w:rPr>
          <w:rFonts w:ascii="宋体" w:hAnsi="宋体"/>
          <w:color w:val="0070C0"/>
        </w:rPr>
      </w:pPr>
      <w:r>
        <w:rPr>
          <w:rFonts w:hint="eastAsia" w:ascii="宋体" w:hAnsi="宋体"/>
          <w:color w:val="0070C0"/>
        </w:rPr>
        <w:t>4、资格后审；</w:t>
      </w:r>
    </w:p>
    <w:p>
      <w:pPr>
        <w:spacing w:line="360" w:lineRule="auto"/>
        <w:ind w:firstLine="420" w:firstLineChars="200"/>
        <w:rPr>
          <w:rFonts w:ascii="宋体" w:hAnsi="宋体"/>
          <w:color w:val="0070C0"/>
        </w:rPr>
      </w:pPr>
      <w:r>
        <w:rPr>
          <w:rFonts w:hint="eastAsia" w:ascii="宋体" w:hAnsi="宋体"/>
          <w:color w:val="0070C0"/>
        </w:rPr>
        <w:t>评标委员会根据招标文件，按照招标公告中要求的资格条件，对所有投标文件进行审查并审定每份投标文件是否满足资格要求。投标文件不满足资格要求的，由评标委员审查后作为无效投标文件处理，不再参与任何后续评审。</w:t>
      </w:r>
    </w:p>
    <w:p>
      <w:pPr>
        <w:spacing w:line="360" w:lineRule="auto"/>
        <w:ind w:firstLine="420" w:firstLineChars="200"/>
        <w:rPr>
          <w:rFonts w:ascii="宋体" w:hAnsi="宋体"/>
          <w:color w:val="0070C0"/>
        </w:rPr>
      </w:pPr>
      <w:r>
        <w:rPr>
          <w:rFonts w:hint="eastAsia" w:ascii="宋体" w:hAnsi="宋体"/>
          <w:color w:val="0070C0"/>
        </w:rPr>
        <w:t>5、初步评审；</w:t>
      </w:r>
    </w:p>
    <w:p>
      <w:pPr>
        <w:spacing w:line="360" w:lineRule="auto"/>
        <w:ind w:firstLine="420" w:firstLineChars="200"/>
        <w:rPr>
          <w:rFonts w:ascii="宋体" w:hAnsi="宋体"/>
          <w:color w:val="0070C0"/>
        </w:rPr>
      </w:pPr>
      <w:r>
        <w:rPr>
          <w:rFonts w:hint="eastAsia" w:ascii="宋体" w:hAnsi="宋体"/>
          <w:color w:val="0070C0"/>
        </w:rPr>
        <w:t>（1）开标后，招标人向评标委员会提供评标所需的重要信息和数据。</w:t>
      </w:r>
    </w:p>
    <w:p>
      <w:pPr>
        <w:spacing w:line="360" w:lineRule="auto"/>
        <w:ind w:firstLine="420" w:firstLineChars="200"/>
        <w:rPr>
          <w:rFonts w:ascii="宋体" w:hAnsi="宋体"/>
          <w:color w:val="0070C0"/>
        </w:rPr>
      </w:pPr>
      <w:r>
        <w:rPr>
          <w:rFonts w:hint="eastAsia" w:ascii="宋体" w:hAnsi="宋体"/>
          <w:color w:val="0070C0"/>
        </w:rPr>
        <w:t>（2）评标委员会根据招标文件，按照初步评审表的形式，对所有投标文件进行审查并逐项列出每一份投标文件的全部偏差，审定每份投标文件是否响应招标文件的运营期限、投标有效期、招标范围等实质性要求和条件。投标文件出现下列情形之一的，由评标委员会初审后作为无效投标文件处理：</w:t>
      </w:r>
    </w:p>
    <w:p>
      <w:pPr>
        <w:spacing w:line="360" w:lineRule="auto"/>
        <w:ind w:firstLine="420" w:firstLineChars="200"/>
        <w:rPr>
          <w:rFonts w:ascii="宋体" w:hAnsi="宋体"/>
          <w:color w:val="FF0000"/>
        </w:rPr>
      </w:pPr>
      <w:r>
        <w:rPr>
          <w:rFonts w:hint="eastAsia" w:ascii="宋体" w:hAnsi="宋体"/>
          <w:color w:val="FF0000"/>
        </w:rPr>
        <w:t>a.未按照招标文件规定要求签署、盖章的；</w:t>
      </w:r>
    </w:p>
    <w:p>
      <w:pPr>
        <w:spacing w:line="360" w:lineRule="auto"/>
        <w:ind w:firstLine="420" w:firstLineChars="200"/>
        <w:rPr>
          <w:rFonts w:ascii="宋体" w:hAnsi="宋体"/>
          <w:color w:val="FF0000"/>
        </w:rPr>
      </w:pPr>
      <w:r>
        <w:rPr>
          <w:rFonts w:hint="eastAsia" w:ascii="宋体" w:hAnsi="宋体"/>
          <w:color w:val="FF0000"/>
        </w:rPr>
        <w:t>b.投标文件的内容不全或者关键内容字迹模糊、无法辨认的；</w:t>
      </w:r>
    </w:p>
    <w:p>
      <w:pPr>
        <w:spacing w:line="360" w:lineRule="auto"/>
        <w:ind w:firstLine="420" w:firstLineChars="200"/>
        <w:rPr>
          <w:rFonts w:ascii="宋体" w:hAnsi="宋体"/>
          <w:color w:val="FF0000"/>
        </w:rPr>
      </w:pPr>
      <w:r>
        <w:rPr>
          <w:rFonts w:hint="eastAsia" w:ascii="宋体" w:hAnsi="宋体"/>
          <w:color w:val="FF0000"/>
        </w:rPr>
        <w:t>c.投标人未按照招标文件的要求提供投标保证金的；</w:t>
      </w:r>
    </w:p>
    <w:p>
      <w:pPr>
        <w:spacing w:line="360" w:lineRule="auto"/>
        <w:ind w:firstLine="420" w:firstLineChars="200"/>
        <w:rPr>
          <w:rFonts w:ascii="宋体" w:hAnsi="宋体"/>
          <w:color w:val="FF0000"/>
        </w:rPr>
      </w:pPr>
      <w:r>
        <w:rPr>
          <w:rFonts w:hint="eastAsia" w:ascii="宋体" w:hAnsi="宋体"/>
          <w:color w:val="FF0000"/>
        </w:rPr>
        <w:t>d. 投标人递交两份或多份内容不同的投标文件，或在一份投标文件中对同一招标项目报有两个或多个报价；</w:t>
      </w:r>
    </w:p>
    <w:p>
      <w:pPr>
        <w:spacing w:line="360" w:lineRule="auto"/>
        <w:ind w:firstLine="420" w:firstLineChars="200"/>
        <w:rPr>
          <w:rFonts w:ascii="宋体" w:hAnsi="宋体"/>
          <w:color w:val="FF0000"/>
        </w:rPr>
      </w:pPr>
      <w:r>
        <w:rPr>
          <w:rFonts w:hint="eastAsia" w:ascii="宋体" w:hAnsi="宋体"/>
          <w:color w:val="FF0000"/>
        </w:rPr>
        <w:t>e. 投标文件载明的招标项目完成期限超过招标文件规定的期限；</w:t>
      </w:r>
    </w:p>
    <w:p>
      <w:pPr>
        <w:spacing w:line="360" w:lineRule="auto"/>
        <w:ind w:firstLine="420" w:firstLineChars="200"/>
        <w:rPr>
          <w:rFonts w:ascii="宋体" w:hAnsi="宋体"/>
          <w:color w:val="FF0000"/>
        </w:rPr>
      </w:pPr>
      <w:r>
        <w:rPr>
          <w:rFonts w:hint="eastAsia" w:ascii="宋体" w:hAnsi="宋体"/>
          <w:color w:val="FF0000"/>
        </w:rPr>
        <w:t>f. 投标报价超出本招标文件规定的最高限价（拦标价）的；</w:t>
      </w:r>
    </w:p>
    <w:p>
      <w:pPr>
        <w:spacing w:line="360" w:lineRule="auto"/>
        <w:ind w:firstLine="420" w:firstLineChars="200"/>
        <w:rPr>
          <w:rFonts w:ascii="宋体" w:hAnsi="宋体"/>
          <w:color w:val="FF0000"/>
        </w:rPr>
      </w:pPr>
      <w:r>
        <w:rPr>
          <w:rFonts w:hint="eastAsia" w:ascii="宋体" w:hAnsi="宋体"/>
          <w:color w:val="FF0000"/>
        </w:rPr>
        <w:t>g.不符合招标文件中规定的其他实质性要求，存在重大偏差的；</w:t>
      </w:r>
    </w:p>
    <w:p>
      <w:pPr>
        <w:spacing w:line="360" w:lineRule="auto"/>
        <w:ind w:firstLine="420" w:firstLineChars="200"/>
        <w:rPr>
          <w:rFonts w:hint="eastAsia" w:ascii="宋体" w:hAnsi="宋体"/>
          <w:color w:val="FF0000"/>
        </w:rPr>
      </w:pPr>
      <w:r>
        <w:rPr>
          <w:rFonts w:hint="eastAsia" w:ascii="宋体" w:hAnsi="宋体"/>
          <w:color w:val="FF0000"/>
        </w:rPr>
        <w:t>h.投标人有串通投标、弄虚作假、行贿等违法行为；</w:t>
      </w:r>
    </w:p>
    <w:p>
      <w:pPr>
        <w:spacing w:line="360" w:lineRule="auto"/>
        <w:ind w:firstLine="420" w:firstLineChars="200"/>
        <w:rPr>
          <w:rFonts w:hint="default" w:eastAsia="宋体"/>
          <w:lang w:val="en-US" w:eastAsia="zh-CN"/>
        </w:rPr>
      </w:pPr>
      <w:r>
        <w:rPr>
          <w:rFonts w:hint="eastAsia" w:ascii="宋体" w:hAnsi="宋体"/>
          <w:color w:val="FF0000"/>
          <w:lang w:val="en-US" w:eastAsia="zh-CN"/>
        </w:rPr>
        <w:t>I.采购需求中带“★”负偏离的；</w:t>
      </w:r>
    </w:p>
    <w:p>
      <w:pPr>
        <w:spacing w:line="360" w:lineRule="auto"/>
        <w:ind w:firstLine="420" w:firstLineChars="200"/>
        <w:rPr>
          <w:rFonts w:ascii="宋体" w:hAnsi="宋体"/>
          <w:color w:val="FF0000"/>
        </w:rPr>
      </w:pPr>
      <w:r>
        <w:rPr>
          <w:rFonts w:hint="eastAsia" w:ascii="宋体" w:hAnsi="宋体"/>
          <w:color w:val="FF0000"/>
          <w:lang w:val="en-US" w:eastAsia="zh-CN"/>
        </w:rPr>
        <w:t>j</w:t>
      </w:r>
      <w:r>
        <w:rPr>
          <w:rFonts w:hint="eastAsia" w:ascii="宋体" w:hAnsi="宋体"/>
          <w:color w:val="FF0000"/>
        </w:rPr>
        <w:t>.投标文件附有招标人不能接受的条件。</w:t>
      </w:r>
    </w:p>
    <w:p>
      <w:pPr>
        <w:spacing w:line="360" w:lineRule="auto"/>
        <w:ind w:firstLine="420" w:firstLineChars="200"/>
        <w:rPr>
          <w:rFonts w:ascii="宋体" w:hAnsi="宋体"/>
          <w:color w:val="0070C0"/>
        </w:rPr>
      </w:pPr>
      <w:r>
        <w:rPr>
          <w:rFonts w:hint="eastAsia" w:ascii="宋体" w:hAnsi="宋体"/>
          <w:color w:val="0070C0"/>
        </w:rPr>
        <w:t>（3）不响应招标文件的实质性要求和条件的投标文件将被拒绝，并且不允许相关投标人通过修正或撤消其不符合要求的差异或保留而使其成为响应性的投标。初步评审被拒绝的投标文件，不再参与任何后续评审。</w:t>
      </w:r>
    </w:p>
    <w:p>
      <w:pPr>
        <w:spacing w:line="360" w:lineRule="auto"/>
        <w:ind w:firstLine="420" w:firstLineChars="200"/>
        <w:rPr>
          <w:rFonts w:ascii="宋体" w:hAnsi="宋体"/>
          <w:color w:val="0070C0"/>
        </w:rPr>
      </w:pPr>
      <w:r>
        <w:rPr>
          <w:rFonts w:hint="eastAsia" w:ascii="宋体" w:hAnsi="宋体"/>
          <w:color w:val="0070C0"/>
        </w:rPr>
        <w:t>（4）评标委员会对投标报价按下列程序进行评审：</w:t>
      </w:r>
    </w:p>
    <w:p>
      <w:pPr>
        <w:spacing w:line="360" w:lineRule="auto"/>
        <w:ind w:firstLine="420" w:firstLineChars="200"/>
        <w:rPr>
          <w:rFonts w:ascii="宋体" w:hAnsi="宋体"/>
          <w:color w:val="0070C0"/>
        </w:rPr>
      </w:pPr>
      <w:r>
        <w:rPr>
          <w:rFonts w:hint="eastAsia" w:ascii="宋体" w:hAnsi="宋体"/>
          <w:color w:val="0070C0"/>
        </w:rPr>
        <w:t>（4.1）对投标报价的填报是否齐全，项目内容是否明确，价格构成是否合理等方面进行审核，判定其是否实质上响应了招标文件的要求；</w:t>
      </w:r>
    </w:p>
    <w:p>
      <w:pPr>
        <w:spacing w:line="360" w:lineRule="auto"/>
        <w:ind w:firstLine="420" w:firstLineChars="200"/>
        <w:rPr>
          <w:rFonts w:ascii="宋体" w:hAnsi="宋体"/>
          <w:color w:val="0070C0"/>
        </w:rPr>
      </w:pPr>
      <w:r>
        <w:rPr>
          <w:rFonts w:hint="eastAsia" w:ascii="宋体" w:hAnsi="宋体"/>
          <w:color w:val="0070C0"/>
        </w:rPr>
        <w:t>（4.2）评标委员会将对确定为实质上响应招标文件要求的投标文件进行校核，看其是否有计算或表达上的错误,修正错误的原则如下:</w:t>
      </w:r>
    </w:p>
    <w:p>
      <w:pPr>
        <w:spacing w:line="360" w:lineRule="auto"/>
        <w:ind w:firstLine="420" w:firstLineChars="200"/>
        <w:rPr>
          <w:rFonts w:ascii="宋体" w:hAnsi="宋体"/>
          <w:color w:val="0070C0"/>
        </w:rPr>
      </w:pPr>
      <w:r>
        <w:rPr>
          <w:rFonts w:hint="eastAsia" w:ascii="宋体" w:hAnsi="宋体"/>
          <w:color w:val="0070C0"/>
        </w:rPr>
        <w:t>①如果数字表示的数额和用文字表示的数额不一致时，以文字表示的数额为准；</w:t>
      </w:r>
    </w:p>
    <w:p>
      <w:pPr>
        <w:spacing w:line="360" w:lineRule="auto"/>
        <w:ind w:firstLine="420" w:firstLineChars="200"/>
        <w:rPr>
          <w:rFonts w:ascii="宋体" w:hAnsi="宋体"/>
          <w:color w:val="0070C0"/>
        </w:rPr>
      </w:pPr>
      <w:r>
        <w:rPr>
          <w:rFonts w:hint="eastAsia" w:ascii="宋体" w:hAnsi="宋体"/>
          <w:color w:val="0070C0"/>
        </w:rPr>
        <w:t>②单价与数量的乘积与合价不一致时，以单价为准。</w:t>
      </w:r>
    </w:p>
    <w:p>
      <w:pPr>
        <w:spacing w:line="360" w:lineRule="auto"/>
        <w:ind w:firstLine="420" w:firstLineChars="200"/>
        <w:rPr>
          <w:rFonts w:ascii="宋体" w:hAnsi="宋体"/>
          <w:color w:val="0070C0"/>
        </w:rPr>
      </w:pPr>
      <w:r>
        <w:rPr>
          <w:rFonts w:hint="eastAsia" w:ascii="宋体" w:hAnsi="宋体"/>
          <w:color w:val="0070C0"/>
        </w:rPr>
        <w:t>③按上述修正错误的原则及方法调整或修正投标文件中的投标报价，投标人同意后，调整后的投标报价对投标人起约束作用。如果投标人不接受修正后的报价,则其投标按废标处理。</w:t>
      </w:r>
    </w:p>
    <w:p>
      <w:pPr>
        <w:spacing w:line="360" w:lineRule="auto"/>
        <w:ind w:firstLine="420" w:firstLineChars="200"/>
        <w:rPr>
          <w:rFonts w:ascii="宋体" w:hAnsi="宋体"/>
          <w:color w:val="0070C0"/>
        </w:rPr>
      </w:pPr>
      <w:r>
        <w:rPr>
          <w:rFonts w:hint="eastAsia" w:ascii="宋体" w:hAnsi="宋体"/>
          <w:color w:val="0070C0"/>
        </w:rPr>
        <w:t>(4.3)评标委员会对在投标报价审核中发现的含义不明确的内容，应当书面向投标人提出询问。投标人应当以书面形式做出澄清、说明或者补正，并由法定代表人或其委托代理人签字；</w:t>
      </w:r>
    </w:p>
    <w:p>
      <w:pPr>
        <w:spacing w:line="360" w:lineRule="auto"/>
        <w:ind w:firstLine="420" w:firstLineChars="200"/>
        <w:rPr>
          <w:rFonts w:ascii="宋体" w:hAnsi="宋体"/>
          <w:color w:val="0070C0"/>
        </w:rPr>
      </w:pPr>
      <w:r>
        <w:rPr>
          <w:rFonts w:hint="eastAsia" w:ascii="宋体" w:hAnsi="宋体"/>
          <w:color w:val="0070C0"/>
        </w:rPr>
        <w:t>6、详细评审</w:t>
      </w:r>
    </w:p>
    <w:p>
      <w:pPr>
        <w:spacing w:line="360" w:lineRule="auto"/>
        <w:ind w:firstLine="420" w:firstLineChars="200"/>
        <w:rPr>
          <w:rFonts w:ascii="宋体" w:hAnsi="宋体"/>
          <w:color w:val="0070C0"/>
        </w:rPr>
      </w:pPr>
      <w:r>
        <w:rPr>
          <w:rFonts w:hint="eastAsia" w:ascii="宋体" w:hAnsi="宋体"/>
          <w:color w:val="0070C0"/>
        </w:rPr>
        <w:t>评标委员会根据招标文件，对通过初步评审的投标文件进行详细评审，并按评审表设定的评审内容进行评审。</w:t>
      </w:r>
    </w:p>
    <w:p>
      <w:pPr>
        <w:spacing w:line="360" w:lineRule="auto"/>
        <w:ind w:firstLine="420" w:firstLineChars="200"/>
        <w:rPr>
          <w:rFonts w:ascii="宋体" w:hAnsi="宋体"/>
          <w:color w:val="0070C0"/>
        </w:rPr>
      </w:pPr>
      <w:r>
        <w:rPr>
          <w:rFonts w:hint="eastAsia" w:ascii="宋体" w:hAnsi="宋体"/>
          <w:color w:val="0070C0"/>
        </w:rPr>
        <w:t>7、推荐中标候选人，确定中标人；</w:t>
      </w:r>
    </w:p>
    <w:p>
      <w:pPr>
        <w:spacing w:line="360" w:lineRule="auto"/>
        <w:ind w:firstLine="420" w:firstLineChars="200"/>
        <w:rPr>
          <w:rFonts w:ascii="宋体" w:hAnsi="宋体"/>
          <w:color w:val="0070C0"/>
        </w:rPr>
      </w:pPr>
      <w:r>
        <w:rPr>
          <w:rFonts w:hint="eastAsia" w:ascii="宋体" w:hAnsi="宋体"/>
          <w:color w:val="0070C0"/>
        </w:rPr>
        <w:t>8、整理评审成果，编制评标报告并由评标委员会全体成员签字确认后向招标人递交评标报告；</w:t>
      </w:r>
    </w:p>
    <w:p>
      <w:pPr>
        <w:spacing w:line="360" w:lineRule="auto"/>
        <w:ind w:firstLine="420" w:firstLineChars="200"/>
        <w:rPr>
          <w:rFonts w:ascii="宋体" w:hAnsi="宋体"/>
          <w:color w:val="FF0000"/>
        </w:rPr>
      </w:pPr>
      <w:r>
        <w:rPr>
          <w:rFonts w:hint="eastAsia" w:ascii="宋体" w:hAnsi="宋体"/>
          <w:color w:val="FF0000"/>
        </w:rPr>
        <w:t>9、根据发改法规规【2022】1117号文，监督部门组织对评标报告审查，发现异常情形的，依照法定程序进行复核，确认存在问题的，依照法定程序进行纠正。</w:t>
      </w:r>
    </w:p>
    <w:p>
      <w:pPr>
        <w:spacing w:line="360" w:lineRule="auto"/>
        <w:ind w:firstLine="420" w:firstLineChars="200"/>
        <w:rPr>
          <w:rFonts w:ascii="宋体" w:hAnsi="宋体"/>
          <w:b/>
          <w:color w:val="0070C0"/>
        </w:rPr>
      </w:pPr>
      <w:bookmarkStart w:id="278" w:name="_Toc394068417"/>
      <w:r>
        <w:rPr>
          <w:rFonts w:hint="eastAsia" w:ascii="宋体" w:hAnsi="宋体"/>
          <w:b/>
          <w:color w:val="0070C0"/>
        </w:rPr>
        <w:t>（二）特殊情况的处置程序</w:t>
      </w:r>
      <w:bookmarkEnd w:id="278"/>
    </w:p>
    <w:p>
      <w:pPr>
        <w:spacing w:line="360" w:lineRule="auto"/>
        <w:ind w:firstLine="420" w:firstLineChars="200"/>
        <w:rPr>
          <w:rFonts w:ascii="宋体" w:hAnsi="宋体"/>
          <w:color w:val="0070C0"/>
        </w:rPr>
      </w:pPr>
      <w:r>
        <w:rPr>
          <w:rFonts w:hint="eastAsia" w:ascii="宋体" w:hAnsi="宋体"/>
          <w:color w:val="0070C0"/>
        </w:rPr>
        <w:t>1、关于评标活动暂停。</w:t>
      </w:r>
    </w:p>
    <w:p>
      <w:pPr>
        <w:spacing w:line="360" w:lineRule="auto"/>
        <w:ind w:firstLine="420" w:firstLineChars="200"/>
        <w:rPr>
          <w:rFonts w:ascii="宋体" w:hAnsi="宋体"/>
          <w:color w:val="0070C0"/>
        </w:rPr>
      </w:pPr>
      <w:r>
        <w:rPr>
          <w:rFonts w:hint="eastAsia" w:ascii="宋体" w:hAnsi="宋体"/>
          <w:color w:val="0070C0"/>
        </w:rPr>
        <w:t>(1）评标委员会应当执行连续评标的原则，按评标办法中规定的程序、内容、方法、标准完成全部评标工作。只有发生不可抗力导致评标工作无法继续时，评标活动方可暂停。</w:t>
      </w:r>
    </w:p>
    <w:p>
      <w:pPr>
        <w:spacing w:line="360" w:lineRule="auto"/>
        <w:ind w:firstLine="420" w:firstLineChars="200"/>
        <w:rPr>
          <w:rFonts w:ascii="宋体" w:hAnsi="宋体"/>
          <w:color w:val="0070C0"/>
        </w:rPr>
      </w:pPr>
      <w:r>
        <w:rPr>
          <w:rFonts w:hint="eastAsia" w:ascii="宋体" w:hAnsi="宋体"/>
          <w:color w:val="0070C0"/>
        </w:rPr>
        <w:t>(2)发生评标暂停情况时，评标委员会应当封存全部投标文件和评标记录，待不可抗力的影响结束且具备继续评标的条件时，由原评标委员会继续评标。</w:t>
      </w:r>
    </w:p>
    <w:p>
      <w:pPr>
        <w:spacing w:line="360" w:lineRule="auto"/>
        <w:ind w:firstLine="420" w:firstLineChars="200"/>
        <w:rPr>
          <w:rFonts w:ascii="宋体" w:hAnsi="宋体"/>
          <w:color w:val="0070C0"/>
        </w:rPr>
      </w:pPr>
      <w:r>
        <w:rPr>
          <w:rFonts w:hint="eastAsia" w:ascii="宋体" w:hAnsi="宋体"/>
          <w:color w:val="0070C0"/>
        </w:rPr>
        <w:t>2、关于评标中途更换评标委员会成员。</w:t>
      </w:r>
    </w:p>
    <w:p>
      <w:pPr>
        <w:spacing w:line="360" w:lineRule="auto"/>
        <w:ind w:firstLine="420" w:firstLineChars="200"/>
        <w:rPr>
          <w:rFonts w:ascii="宋体" w:hAnsi="宋体"/>
          <w:color w:val="0070C0"/>
        </w:rPr>
      </w:pPr>
      <w:r>
        <w:rPr>
          <w:rFonts w:hint="eastAsia" w:ascii="宋体" w:hAnsi="宋体"/>
          <w:color w:val="0070C0"/>
        </w:rPr>
        <w:t>除非发生下列情况之一，评标委员会成员不得在评标中途更换：</w:t>
      </w:r>
    </w:p>
    <w:p>
      <w:pPr>
        <w:spacing w:line="360" w:lineRule="auto"/>
        <w:ind w:firstLine="420" w:firstLineChars="200"/>
        <w:rPr>
          <w:rFonts w:ascii="宋体" w:hAnsi="宋体"/>
          <w:color w:val="0070C0"/>
        </w:rPr>
      </w:pPr>
      <w:r>
        <w:rPr>
          <w:rFonts w:hint="eastAsia" w:ascii="宋体" w:hAnsi="宋体"/>
          <w:color w:val="0070C0"/>
        </w:rPr>
        <w:t>(1)因不可抗拒的客观原因，不能到场或确需在评标中途退出评标活动；</w:t>
      </w:r>
    </w:p>
    <w:p>
      <w:pPr>
        <w:spacing w:line="360" w:lineRule="auto"/>
        <w:ind w:firstLine="420" w:firstLineChars="200"/>
        <w:rPr>
          <w:rFonts w:ascii="宋体" w:hAnsi="宋体"/>
          <w:color w:val="0070C0"/>
        </w:rPr>
      </w:pPr>
      <w:r>
        <w:rPr>
          <w:rFonts w:hint="eastAsia" w:ascii="宋体" w:hAnsi="宋体"/>
          <w:color w:val="0070C0"/>
        </w:rPr>
        <w:t>(2)发现某评标委员会成员不符合法律法规及政府规章规定，应当回避的。</w:t>
      </w:r>
    </w:p>
    <w:p>
      <w:pPr>
        <w:spacing w:line="360" w:lineRule="auto"/>
        <w:ind w:firstLine="420" w:firstLineChars="200"/>
        <w:rPr>
          <w:rFonts w:ascii="宋体" w:hAnsi="宋体"/>
          <w:color w:val="0070C0"/>
        </w:rPr>
      </w:pPr>
      <w:r>
        <w:rPr>
          <w:rFonts w:hint="eastAsia" w:ascii="宋体" w:hAnsi="宋体"/>
          <w:color w:val="0070C0"/>
        </w:rPr>
        <w:t>3、退出评标的评标委员会成员，其己完成的评标行为无效。</w:t>
      </w:r>
    </w:p>
    <w:p>
      <w:pPr>
        <w:spacing w:line="360" w:lineRule="auto"/>
        <w:ind w:firstLine="420" w:firstLineChars="200"/>
        <w:rPr>
          <w:rFonts w:ascii="宋体" w:hAnsi="宋体"/>
          <w:color w:val="0070C0"/>
        </w:rPr>
      </w:pPr>
      <w:r>
        <w:rPr>
          <w:rFonts w:hint="eastAsia" w:ascii="宋体" w:hAnsi="宋体"/>
          <w:color w:val="0070C0"/>
        </w:rPr>
        <w:t>4、由招标人根据本办法规定的评标委员会成员产生方式另行确定替代者进行评标。</w:t>
      </w:r>
    </w:p>
    <w:p>
      <w:pPr>
        <w:pStyle w:val="6"/>
        <w:rPr>
          <w:rFonts w:hint="eastAsia"/>
          <w:color w:val="0070C0"/>
        </w:rPr>
      </w:pPr>
      <w:bookmarkStart w:id="279" w:name="_Toc353448510"/>
      <w:bookmarkStart w:id="280" w:name="_Toc473902483"/>
      <w:bookmarkStart w:id="281" w:name="_Toc394068418"/>
      <w:r>
        <w:rPr>
          <w:rFonts w:hint="eastAsia"/>
          <w:color w:val="0070C0"/>
        </w:rPr>
        <w:t>三、评标委员会工作纪律</w:t>
      </w:r>
      <w:bookmarkEnd w:id="279"/>
      <w:bookmarkEnd w:id="280"/>
      <w:bookmarkEnd w:id="281"/>
    </w:p>
    <w:p>
      <w:pPr>
        <w:spacing w:line="360" w:lineRule="auto"/>
        <w:ind w:firstLine="420" w:firstLineChars="200"/>
        <w:rPr>
          <w:rFonts w:ascii="宋体" w:hAnsi="宋体"/>
          <w:color w:val="0070C0"/>
        </w:rPr>
      </w:pPr>
      <w:r>
        <w:rPr>
          <w:rFonts w:hint="eastAsia" w:ascii="宋体" w:hAnsi="宋体"/>
          <w:color w:val="0070C0"/>
        </w:rPr>
        <w:t>1、评标委员会成员应当客观、公正地履行职责，遵守职业道德，对所提出的评审意见承担个人责任。</w:t>
      </w:r>
    </w:p>
    <w:p>
      <w:pPr>
        <w:spacing w:line="360" w:lineRule="auto"/>
        <w:ind w:firstLine="420" w:firstLineChars="200"/>
        <w:rPr>
          <w:rFonts w:ascii="宋体" w:hAnsi="宋体"/>
          <w:color w:val="0070C0"/>
        </w:rPr>
      </w:pPr>
      <w:r>
        <w:rPr>
          <w:rFonts w:hint="eastAsia" w:ascii="宋体" w:hAnsi="宋体"/>
          <w:color w:val="0070C0"/>
        </w:rPr>
        <w:t>2、评标过程中招标人的代表不得发表超出招标文件规定内容的、带有倾向性或引导性的言论，如关于投标人的考察等情况。评标委员会其他成员应充分发挥个人技术能力、水平，依据招标文件独立进行评标工作。</w:t>
      </w:r>
    </w:p>
    <w:p>
      <w:pPr>
        <w:spacing w:line="360" w:lineRule="auto"/>
        <w:ind w:firstLine="420" w:firstLineChars="200"/>
        <w:rPr>
          <w:rFonts w:ascii="宋体" w:hAnsi="宋体"/>
          <w:color w:val="0070C0"/>
        </w:rPr>
      </w:pPr>
      <w:r>
        <w:rPr>
          <w:rFonts w:hint="eastAsia" w:ascii="宋体" w:hAnsi="宋体"/>
          <w:color w:val="0070C0"/>
        </w:rPr>
        <w:t>3、在评标过程中，评标委员会成员发现投标人以他人的名义投标、串通投标或者以其他弄虚作假方式投标的，应否决该投标人投标文件，并将有关情况记录于评标报告。</w:t>
      </w:r>
    </w:p>
    <w:p>
      <w:pPr>
        <w:spacing w:line="360" w:lineRule="auto"/>
        <w:ind w:firstLine="420" w:firstLineChars="200"/>
        <w:rPr>
          <w:rFonts w:ascii="宋体" w:hAnsi="宋体"/>
          <w:color w:val="0070C0"/>
        </w:rPr>
      </w:pPr>
      <w:r>
        <w:rPr>
          <w:rFonts w:hint="eastAsia" w:ascii="宋体" w:hAnsi="宋体"/>
          <w:color w:val="0070C0"/>
        </w:rPr>
        <w:t>4、评标委员会成员应当依据法律法规和规章的规定，对应当回避的评标活动主动提出回避；不得与任何投标人进行私下接触，收受投标人的财物或者其他好处。</w:t>
      </w:r>
    </w:p>
    <w:p>
      <w:pPr>
        <w:spacing w:line="360" w:lineRule="auto"/>
        <w:ind w:firstLine="420" w:firstLineChars="200"/>
        <w:rPr>
          <w:rFonts w:ascii="宋体" w:hAnsi="宋体"/>
          <w:color w:val="0070C0"/>
        </w:rPr>
      </w:pPr>
      <w:r>
        <w:rPr>
          <w:rFonts w:hint="eastAsia" w:ascii="宋体" w:hAnsi="宋体"/>
          <w:color w:val="0070C0"/>
        </w:rPr>
        <w:t>5、评标委员会成员和与评标活动有关的工作人员不得透露对投标文件的评审和比较、中标候选人的推荐情况以及与评标有关的其他情况。</w:t>
      </w:r>
    </w:p>
    <w:p>
      <w:pPr>
        <w:spacing w:line="360" w:lineRule="auto"/>
        <w:ind w:firstLine="420" w:firstLineChars="200"/>
        <w:rPr>
          <w:rFonts w:ascii="宋体" w:hAnsi="宋体"/>
          <w:color w:val="0070C0"/>
        </w:rPr>
      </w:pPr>
      <w:r>
        <w:rPr>
          <w:rFonts w:hint="eastAsia" w:ascii="宋体" w:hAnsi="宋体"/>
          <w:color w:val="0070C0"/>
        </w:rPr>
        <w:t>6、有下列情形之一的，不得担任评标委员会成员：</w:t>
      </w:r>
    </w:p>
    <w:p>
      <w:pPr>
        <w:spacing w:line="360" w:lineRule="auto"/>
        <w:ind w:firstLine="420" w:firstLineChars="200"/>
        <w:rPr>
          <w:rFonts w:ascii="宋体" w:hAnsi="宋体"/>
          <w:color w:val="0070C0"/>
        </w:rPr>
      </w:pPr>
      <w:r>
        <w:rPr>
          <w:rFonts w:hint="eastAsia" w:ascii="宋体" w:hAnsi="宋体"/>
          <w:color w:val="0070C0"/>
        </w:rPr>
        <w:t>（1）项目主管部门或者行政监督部门的人员；</w:t>
      </w:r>
    </w:p>
    <w:p>
      <w:pPr>
        <w:spacing w:line="360" w:lineRule="auto"/>
        <w:ind w:firstLine="420" w:firstLineChars="200"/>
        <w:rPr>
          <w:rFonts w:ascii="宋体" w:hAnsi="宋体"/>
          <w:color w:val="0070C0"/>
        </w:rPr>
      </w:pPr>
      <w:r>
        <w:rPr>
          <w:rFonts w:hint="eastAsia" w:ascii="宋体" w:hAnsi="宋体"/>
          <w:color w:val="0070C0"/>
        </w:rPr>
        <w:t>（2）与供应商有经济利益关系，可能影响对投标公正评审的；</w:t>
      </w:r>
    </w:p>
    <w:p>
      <w:pPr>
        <w:spacing w:line="360" w:lineRule="auto"/>
        <w:ind w:firstLine="420" w:firstLineChars="200"/>
        <w:rPr>
          <w:rFonts w:ascii="宋体" w:hAnsi="宋体"/>
          <w:color w:val="0070C0"/>
        </w:rPr>
      </w:pPr>
      <w:r>
        <w:rPr>
          <w:rFonts w:hint="eastAsia" w:ascii="宋体" w:hAnsi="宋体"/>
          <w:color w:val="0070C0"/>
        </w:rPr>
        <w:t>（3）曾因在招标、评标以及其他与招标投标有关活动中从事违法行为而受过行政处罚或刑事处罚的。</w:t>
      </w:r>
    </w:p>
    <w:p>
      <w:pPr>
        <w:spacing w:line="360" w:lineRule="auto"/>
        <w:ind w:firstLine="420" w:firstLineChars="200"/>
        <w:rPr>
          <w:rFonts w:ascii="宋体" w:hAnsi="宋体"/>
          <w:color w:val="0070C0"/>
        </w:rPr>
      </w:pPr>
      <w:r>
        <w:rPr>
          <w:rFonts w:hint="eastAsia" w:ascii="宋体" w:hAnsi="宋体"/>
          <w:color w:val="0070C0"/>
        </w:rPr>
        <w:t>（4）参加采购活动前3年内与供应商存在劳动关系；</w:t>
      </w:r>
    </w:p>
    <w:p>
      <w:pPr>
        <w:spacing w:line="360" w:lineRule="auto"/>
        <w:ind w:firstLine="420" w:firstLineChars="200"/>
        <w:rPr>
          <w:rFonts w:ascii="宋体" w:hAnsi="宋体"/>
          <w:color w:val="0070C0"/>
        </w:rPr>
      </w:pPr>
      <w:r>
        <w:rPr>
          <w:rFonts w:hint="eastAsia" w:ascii="宋体" w:hAnsi="宋体"/>
          <w:color w:val="0070C0"/>
        </w:rPr>
        <w:t>（5）参加采购活动前3年内担任供应商的董事、监事；</w:t>
      </w:r>
    </w:p>
    <w:p>
      <w:pPr>
        <w:spacing w:line="360" w:lineRule="auto"/>
        <w:ind w:firstLine="420" w:firstLineChars="200"/>
        <w:rPr>
          <w:rFonts w:ascii="宋体" w:hAnsi="宋体"/>
          <w:color w:val="0070C0"/>
        </w:rPr>
      </w:pPr>
      <w:r>
        <w:rPr>
          <w:rFonts w:hint="eastAsia" w:ascii="宋体" w:hAnsi="宋体"/>
          <w:color w:val="0070C0"/>
        </w:rPr>
        <w:t>（6）参加采购活动前3年内是供应商的控股股东或者实际控制人；</w:t>
      </w:r>
    </w:p>
    <w:p>
      <w:pPr>
        <w:spacing w:line="360" w:lineRule="auto"/>
        <w:ind w:firstLine="420" w:firstLineChars="200"/>
        <w:rPr>
          <w:rFonts w:ascii="宋体" w:hAnsi="宋体"/>
          <w:color w:val="0070C0"/>
        </w:rPr>
      </w:pPr>
      <w:r>
        <w:rPr>
          <w:rFonts w:hint="eastAsia" w:ascii="宋体" w:hAnsi="宋体"/>
          <w:color w:val="0070C0"/>
        </w:rPr>
        <w:t>（7）与供应商的法定代表人或者负责人有夫妻、直系血亲、三代以内旁系血亲或者近姻亲关系；</w:t>
      </w:r>
    </w:p>
    <w:p>
      <w:pPr>
        <w:spacing w:line="360" w:lineRule="auto"/>
        <w:ind w:firstLine="420" w:firstLineChars="200"/>
        <w:rPr>
          <w:rFonts w:ascii="宋体" w:hAnsi="宋体"/>
          <w:color w:val="0070C0"/>
        </w:rPr>
      </w:pPr>
      <w:r>
        <w:rPr>
          <w:rFonts w:hint="eastAsia" w:ascii="宋体" w:hAnsi="宋体"/>
          <w:color w:val="0070C0"/>
        </w:rPr>
        <w:t>（8）与供应商有其他可能影响政府采购活动公平、公正进行的关系。</w:t>
      </w:r>
    </w:p>
    <w:p>
      <w:pPr>
        <w:spacing w:line="360" w:lineRule="auto"/>
        <w:ind w:firstLine="420" w:firstLineChars="200"/>
        <w:rPr>
          <w:rFonts w:ascii="宋体" w:hAnsi="宋体"/>
          <w:color w:val="0070C0"/>
        </w:rPr>
      </w:pPr>
      <w:r>
        <w:rPr>
          <w:rFonts w:hint="eastAsia" w:ascii="宋体" w:hAnsi="宋体"/>
          <w:color w:val="0070C0"/>
        </w:rPr>
        <w:t>评标委员会成员有前款规定情形之一的，应当主动提出回避。</w:t>
      </w:r>
    </w:p>
    <w:p>
      <w:pPr>
        <w:pStyle w:val="6"/>
        <w:numPr>
          <w:ilvl w:val="0"/>
          <w:numId w:val="1"/>
        </w:numPr>
        <w:rPr>
          <w:rFonts w:hint="eastAsia"/>
          <w:color w:val="0070C0"/>
          <w:sz w:val="24"/>
          <w:szCs w:val="24"/>
        </w:rPr>
      </w:pPr>
      <w:bookmarkStart w:id="282" w:name="_Toc394068419"/>
      <w:bookmarkStart w:id="283" w:name="_Toc473902484"/>
      <w:bookmarkStart w:id="284" w:name="_Toc353448511"/>
      <w:r>
        <w:rPr>
          <w:rFonts w:hint="eastAsia"/>
          <w:color w:val="0070C0"/>
          <w:sz w:val="24"/>
          <w:szCs w:val="24"/>
        </w:rPr>
        <w:t>评标办法</w:t>
      </w:r>
      <w:bookmarkEnd w:id="282"/>
      <w:bookmarkEnd w:id="283"/>
      <w:bookmarkEnd w:id="284"/>
    </w:p>
    <w:p>
      <w:pPr>
        <w:pStyle w:val="105"/>
        <w:tabs>
          <w:tab w:val="left" w:pos="1057"/>
        </w:tabs>
        <w:autoSpaceDE w:val="0"/>
        <w:autoSpaceDN w:val="0"/>
        <w:spacing w:line="360" w:lineRule="auto"/>
        <w:ind w:right="659" w:firstLineChars="0"/>
        <w:rPr>
          <w:rFonts w:eastAsia="Times New Roman"/>
          <w:color w:val="0070C0"/>
          <w:szCs w:val="21"/>
        </w:rPr>
      </w:pPr>
      <w:r>
        <w:rPr>
          <w:rFonts w:hint="eastAsia"/>
          <w:color w:val="0070C0"/>
          <w:spacing w:val="-1"/>
          <w:szCs w:val="21"/>
        </w:rPr>
        <w:t>1、</w:t>
      </w:r>
      <w:r>
        <w:rPr>
          <w:color w:val="0070C0"/>
          <w:spacing w:val="-1"/>
          <w:szCs w:val="21"/>
        </w:rPr>
        <w:t>在复审阶段，评委会将采用打分法，打分法采取百分制，综合评分。最后对各家投标人的得分汇总，评标结果按评审后总得分由高到低顺序排列。</w:t>
      </w:r>
      <w:r>
        <w:rPr>
          <w:color w:val="0070C0"/>
          <w:spacing w:val="-5"/>
          <w:szCs w:val="21"/>
        </w:rPr>
        <w:t>总得分相同的，按投标报价由低到高顺序排列。总得分且投标报价相同的并列</w:t>
      </w:r>
      <w:r>
        <w:rPr>
          <w:color w:val="0070C0"/>
          <w:spacing w:val="-141"/>
          <w:szCs w:val="21"/>
        </w:rPr>
        <w:t>。</w:t>
      </w:r>
      <w:r>
        <w:rPr>
          <w:color w:val="0070C0"/>
          <w:szCs w:val="21"/>
        </w:rPr>
        <w:t>（</w:t>
      </w:r>
      <w:r>
        <w:rPr>
          <w:color w:val="0070C0"/>
          <w:spacing w:val="-4"/>
          <w:szCs w:val="21"/>
        </w:rPr>
        <w:t>如第一名</w:t>
      </w:r>
      <w:r>
        <w:rPr>
          <w:color w:val="0070C0"/>
          <w:szCs w:val="21"/>
        </w:rPr>
        <w:t>并列，则采取随机抽取方式确定排名先后</w:t>
      </w:r>
      <w:r>
        <w:rPr>
          <w:color w:val="0070C0"/>
          <w:spacing w:val="6"/>
          <w:szCs w:val="21"/>
        </w:rPr>
        <w:t>）</w:t>
      </w:r>
      <w:r>
        <w:rPr>
          <w:color w:val="0070C0"/>
          <w:spacing w:val="-1"/>
          <w:szCs w:val="21"/>
        </w:rPr>
        <w:t>投标文件满足招标文件全部实质性要求，且按</w:t>
      </w:r>
      <w:r>
        <w:rPr>
          <w:color w:val="0070C0"/>
          <w:szCs w:val="21"/>
        </w:rPr>
        <w:t>照评审因素的量化指标评审得分最高的投标人为排名第一的中标候选人</w:t>
      </w:r>
    </w:p>
    <w:p>
      <w:pPr>
        <w:pStyle w:val="20"/>
        <w:rPr>
          <w:rFonts w:ascii="宋体" w:hAnsi="宋体"/>
          <w:b/>
          <w:color w:val="0070C0"/>
          <w:sz w:val="24"/>
        </w:rPr>
      </w:pPr>
      <w:r>
        <w:rPr>
          <w:rFonts w:hint="eastAsia" w:ascii="宋体" w:hAnsi="宋体"/>
          <w:b/>
          <w:color w:val="0070C0"/>
          <w:sz w:val="24"/>
        </w:rPr>
        <w:t>评分细则具体如下：</w:t>
      </w:r>
    </w:p>
    <w:tbl>
      <w:tblPr>
        <w:tblStyle w:val="43"/>
        <w:tblW w:w="9117"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1895"/>
        <w:gridCol w:w="1056"/>
        <w:gridCol w:w="3298"/>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918" w:type="dxa"/>
            <w:tcBorders>
              <w:tl2br w:val="nil"/>
              <w:tr2bl w:val="nil"/>
            </w:tcBorders>
            <w:vAlign w:val="center"/>
          </w:tcPr>
          <w:p>
            <w:pPr>
              <w:widowControl/>
              <w:adjustRightInd w:val="0"/>
              <w:snapToGrid w:val="0"/>
              <w:spacing w:line="360" w:lineRule="auto"/>
              <w:jc w:val="center"/>
              <w:textAlignment w:val="auto"/>
              <w:rPr>
                <w:rFonts w:ascii="宋体" w:hAnsi="宋体" w:eastAsia="宋体" w:cs="宋体"/>
                <w:color w:val="0070C0"/>
                <w:kern w:val="0"/>
                <w:sz w:val="21"/>
                <w:szCs w:val="21"/>
                <w:lang w:val="zh-CN" w:eastAsia="zh-CN" w:bidi="zh-CN"/>
              </w:rPr>
            </w:pPr>
            <w:r>
              <w:rPr>
                <w:rFonts w:hint="eastAsia" w:ascii="宋体" w:hAnsi="宋体" w:eastAsia="宋体" w:cs="宋体"/>
                <w:color w:val="0070C0"/>
                <w:kern w:val="0"/>
                <w:sz w:val="21"/>
                <w:szCs w:val="21"/>
                <w:lang w:val="zh-CN" w:eastAsia="zh-CN" w:bidi="zh-CN"/>
              </w:rPr>
              <w:t>序号</w:t>
            </w:r>
          </w:p>
        </w:tc>
        <w:tc>
          <w:tcPr>
            <w:tcW w:w="1895" w:type="dxa"/>
            <w:tcBorders>
              <w:tl2br w:val="nil"/>
              <w:tr2bl w:val="nil"/>
            </w:tcBorders>
            <w:vAlign w:val="center"/>
          </w:tcPr>
          <w:p>
            <w:pPr>
              <w:widowControl/>
              <w:adjustRightInd w:val="0"/>
              <w:snapToGrid w:val="0"/>
              <w:spacing w:line="360" w:lineRule="auto"/>
              <w:jc w:val="center"/>
              <w:textAlignment w:val="auto"/>
              <w:rPr>
                <w:rFonts w:hint="eastAsia" w:ascii="宋体" w:hAnsi="宋体" w:eastAsia="宋体" w:cs="宋体"/>
                <w:color w:val="0070C0"/>
                <w:kern w:val="0"/>
                <w:sz w:val="21"/>
                <w:szCs w:val="21"/>
                <w:lang w:val="zh-CN" w:eastAsia="zh-CN" w:bidi="zh-CN"/>
              </w:rPr>
            </w:pPr>
            <w:r>
              <w:rPr>
                <w:rFonts w:hint="eastAsia" w:ascii="宋体" w:hAnsi="宋体" w:eastAsia="宋体" w:cs="宋体"/>
                <w:color w:val="0070C0"/>
                <w:kern w:val="0"/>
                <w:sz w:val="21"/>
                <w:szCs w:val="21"/>
                <w:lang w:val="zh-CN" w:eastAsia="zh-CN" w:bidi="zh-CN"/>
              </w:rPr>
              <w:t>评 分</w:t>
            </w:r>
          </w:p>
          <w:p>
            <w:pPr>
              <w:widowControl/>
              <w:adjustRightInd w:val="0"/>
              <w:snapToGrid w:val="0"/>
              <w:spacing w:line="360" w:lineRule="auto"/>
              <w:jc w:val="center"/>
              <w:textAlignment w:val="auto"/>
              <w:rPr>
                <w:rFonts w:ascii="宋体" w:hAnsi="宋体" w:eastAsia="宋体" w:cs="宋体"/>
                <w:color w:val="0070C0"/>
                <w:kern w:val="0"/>
                <w:sz w:val="21"/>
                <w:szCs w:val="21"/>
                <w:lang w:val="zh-CN" w:eastAsia="zh-CN" w:bidi="zh-CN"/>
              </w:rPr>
            </w:pPr>
            <w:r>
              <w:rPr>
                <w:rFonts w:hint="eastAsia" w:ascii="宋体" w:hAnsi="宋体" w:eastAsia="宋体" w:cs="宋体"/>
                <w:color w:val="0070C0"/>
                <w:kern w:val="0"/>
                <w:sz w:val="21"/>
                <w:szCs w:val="21"/>
                <w:lang w:val="zh-CN" w:eastAsia="zh-CN" w:bidi="zh-CN"/>
              </w:rPr>
              <w:t>项 目</w:t>
            </w:r>
          </w:p>
        </w:tc>
        <w:tc>
          <w:tcPr>
            <w:tcW w:w="1056" w:type="dxa"/>
            <w:tcBorders>
              <w:tl2br w:val="nil"/>
              <w:tr2bl w:val="nil"/>
            </w:tcBorders>
            <w:vAlign w:val="center"/>
          </w:tcPr>
          <w:p>
            <w:pPr>
              <w:widowControl/>
              <w:adjustRightInd w:val="0"/>
              <w:snapToGrid w:val="0"/>
              <w:spacing w:line="360" w:lineRule="auto"/>
              <w:jc w:val="center"/>
              <w:textAlignment w:val="auto"/>
              <w:rPr>
                <w:rFonts w:ascii="宋体" w:hAnsi="宋体" w:eastAsia="宋体" w:cs="宋体"/>
                <w:color w:val="0070C0"/>
                <w:kern w:val="0"/>
                <w:sz w:val="21"/>
                <w:szCs w:val="21"/>
                <w:lang w:val="zh-CN" w:eastAsia="zh-CN" w:bidi="zh-CN"/>
              </w:rPr>
            </w:pPr>
            <w:r>
              <w:rPr>
                <w:rFonts w:hint="eastAsia" w:ascii="宋体" w:hAnsi="宋体" w:eastAsia="宋体" w:cs="宋体"/>
                <w:color w:val="0070C0"/>
                <w:kern w:val="0"/>
                <w:sz w:val="21"/>
                <w:szCs w:val="21"/>
                <w:lang w:val="zh-CN" w:eastAsia="zh-CN" w:bidi="zh-CN"/>
              </w:rPr>
              <w:t>分值</w:t>
            </w:r>
          </w:p>
        </w:tc>
        <w:tc>
          <w:tcPr>
            <w:tcW w:w="3298" w:type="dxa"/>
            <w:tcBorders>
              <w:tl2br w:val="nil"/>
              <w:tr2bl w:val="nil"/>
            </w:tcBorders>
            <w:vAlign w:val="center"/>
          </w:tcPr>
          <w:p>
            <w:pPr>
              <w:widowControl/>
              <w:adjustRightInd w:val="0"/>
              <w:snapToGrid w:val="0"/>
              <w:spacing w:line="360" w:lineRule="auto"/>
              <w:ind w:firstLine="420" w:firstLineChars="200"/>
              <w:jc w:val="center"/>
              <w:textAlignment w:val="auto"/>
              <w:rPr>
                <w:rFonts w:ascii="宋体" w:hAnsi="宋体" w:eastAsia="宋体" w:cs="宋体"/>
                <w:color w:val="0070C0"/>
                <w:kern w:val="0"/>
                <w:sz w:val="21"/>
                <w:szCs w:val="21"/>
                <w:lang w:val="zh-CN" w:eastAsia="zh-CN" w:bidi="zh-CN"/>
              </w:rPr>
            </w:pPr>
            <w:r>
              <w:rPr>
                <w:rFonts w:hint="eastAsia" w:ascii="宋体" w:hAnsi="宋体" w:eastAsia="宋体" w:cs="宋体"/>
                <w:color w:val="0070C0"/>
                <w:kern w:val="0"/>
                <w:sz w:val="21"/>
                <w:szCs w:val="21"/>
                <w:lang w:val="zh-CN" w:eastAsia="zh-CN" w:bidi="zh-CN"/>
              </w:rPr>
              <w:t>评  分  标  准</w:t>
            </w:r>
          </w:p>
        </w:tc>
        <w:tc>
          <w:tcPr>
            <w:tcW w:w="1950" w:type="dxa"/>
            <w:tcBorders>
              <w:tl2br w:val="nil"/>
              <w:tr2bl w:val="nil"/>
            </w:tcBorders>
            <w:vAlign w:val="center"/>
          </w:tcPr>
          <w:p>
            <w:pPr>
              <w:pStyle w:val="132"/>
              <w:spacing w:line="304" w:lineRule="exact"/>
              <w:ind w:left="108"/>
              <w:rPr>
                <w:rFonts w:hint="eastAsia" w:ascii="宋体" w:hAnsi="宋体" w:eastAsia="宋体" w:cs="宋体"/>
                <w:color w:val="0070C0"/>
                <w:kern w:val="0"/>
                <w:sz w:val="21"/>
                <w:szCs w:val="21"/>
                <w:lang w:val="zh-CN" w:eastAsia="zh-CN" w:bidi="zh-CN"/>
              </w:rPr>
            </w:pPr>
            <w:r>
              <w:rPr>
                <w:rFonts w:ascii="宋体" w:hAnsi="宋体" w:eastAsia="宋体" w:cs="宋体"/>
                <w:color w:val="0070C0"/>
                <w:kern w:val="0"/>
                <w:sz w:val="21"/>
                <w:szCs w:val="21"/>
                <w:lang w:val="zh-CN" w:eastAsia="zh-CN" w:bidi="zh-CN"/>
              </w:rPr>
              <w:t>投标单位得分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18" w:type="dxa"/>
            <w:tcBorders>
              <w:tl2br w:val="nil"/>
              <w:tr2bl w:val="nil"/>
            </w:tcBorders>
            <w:vAlign w:val="center"/>
          </w:tcPr>
          <w:p>
            <w:pPr>
              <w:widowControl/>
              <w:adjustRightInd w:val="0"/>
              <w:snapToGrid w:val="0"/>
              <w:spacing w:line="360" w:lineRule="auto"/>
              <w:jc w:val="center"/>
              <w:textAlignment w:val="auto"/>
              <w:rPr>
                <w:rFonts w:ascii="宋体" w:hAnsi="宋体" w:eastAsia="宋体" w:cs="宋体"/>
                <w:color w:val="0070C0"/>
                <w:kern w:val="0"/>
                <w:sz w:val="21"/>
                <w:szCs w:val="21"/>
                <w:lang w:val="zh-CN" w:eastAsia="zh-CN" w:bidi="zh-CN"/>
              </w:rPr>
            </w:pPr>
            <w:r>
              <w:rPr>
                <w:rFonts w:hint="eastAsia" w:ascii="宋体" w:hAnsi="宋体" w:eastAsia="宋体" w:cs="宋体"/>
                <w:color w:val="0070C0"/>
                <w:kern w:val="0"/>
                <w:sz w:val="21"/>
                <w:szCs w:val="21"/>
                <w:lang w:val="zh-CN" w:eastAsia="zh-CN" w:bidi="zh-CN"/>
              </w:rPr>
              <w:t>1</w:t>
            </w:r>
          </w:p>
        </w:tc>
        <w:tc>
          <w:tcPr>
            <w:tcW w:w="1895" w:type="dxa"/>
            <w:tcBorders>
              <w:tl2br w:val="nil"/>
              <w:tr2bl w:val="nil"/>
            </w:tcBorders>
            <w:vAlign w:val="center"/>
          </w:tcPr>
          <w:p>
            <w:pPr>
              <w:widowControl/>
              <w:adjustRightInd w:val="0"/>
              <w:snapToGrid w:val="0"/>
              <w:spacing w:line="360" w:lineRule="auto"/>
              <w:jc w:val="center"/>
              <w:textAlignment w:val="auto"/>
              <w:rPr>
                <w:rFonts w:hint="eastAsia" w:ascii="宋体" w:hAnsi="宋体" w:eastAsia="宋体" w:cs="宋体"/>
                <w:color w:val="0070C0"/>
                <w:kern w:val="0"/>
                <w:sz w:val="21"/>
                <w:szCs w:val="21"/>
                <w:lang w:val="en-US" w:eastAsia="zh-CN" w:bidi="zh-CN"/>
              </w:rPr>
            </w:pPr>
            <w:r>
              <w:rPr>
                <w:rFonts w:hint="eastAsia" w:ascii="宋体" w:hAnsi="宋体" w:eastAsia="宋体" w:cs="宋体"/>
                <w:color w:val="0070C0"/>
                <w:kern w:val="0"/>
                <w:sz w:val="21"/>
                <w:szCs w:val="21"/>
                <w:lang w:val="en-US" w:eastAsia="zh-CN" w:bidi="zh-CN"/>
              </w:rPr>
              <w:t>DRG综合管理信息系统投标报价</w:t>
            </w:r>
          </w:p>
        </w:tc>
        <w:tc>
          <w:tcPr>
            <w:tcW w:w="1056" w:type="dxa"/>
            <w:tcBorders>
              <w:tl2br w:val="nil"/>
              <w:tr2bl w:val="nil"/>
            </w:tcBorders>
            <w:vAlign w:val="center"/>
          </w:tcPr>
          <w:p>
            <w:pPr>
              <w:widowControl/>
              <w:adjustRightInd w:val="0"/>
              <w:snapToGrid w:val="0"/>
              <w:spacing w:line="360" w:lineRule="auto"/>
              <w:jc w:val="center"/>
              <w:textAlignment w:val="auto"/>
              <w:rPr>
                <w:rFonts w:hint="default" w:ascii="宋体" w:hAnsi="宋体" w:eastAsia="宋体" w:cs="宋体"/>
                <w:color w:val="0070C0"/>
                <w:kern w:val="0"/>
                <w:sz w:val="21"/>
                <w:szCs w:val="21"/>
                <w:lang w:val="en-US" w:eastAsia="zh-CN" w:bidi="zh-CN"/>
              </w:rPr>
            </w:pPr>
            <w:r>
              <w:rPr>
                <w:rFonts w:hint="eastAsia" w:ascii="宋体" w:hAnsi="宋体" w:cs="宋体"/>
                <w:color w:val="0070C0"/>
                <w:kern w:val="0"/>
                <w:sz w:val="21"/>
                <w:szCs w:val="21"/>
                <w:lang w:val="en-US" w:eastAsia="zh-CN" w:bidi="zh-CN"/>
              </w:rPr>
              <w:t>90</w:t>
            </w:r>
            <w:r>
              <w:rPr>
                <w:rFonts w:hint="eastAsia" w:ascii="宋体" w:hAnsi="宋体" w:eastAsia="宋体" w:cs="宋体"/>
                <w:color w:val="0070C0"/>
                <w:kern w:val="0"/>
                <w:sz w:val="21"/>
                <w:szCs w:val="21"/>
                <w:lang w:val="en-US" w:eastAsia="zh-CN" w:bidi="zh-CN"/>
              </w:rPr>
              <w:t>分</w:t>
            </w:r>
          </w:p>
        </w:tc>
        <w:tc>
          <w:tcPr>
            <w:tcW w:w="3298" w:type="dxa"/>
            <w:tcBorders>
              <w:tl2br w:val="nil"/>
              <w:tr2bl w:val="nil"/>
            </w:tcBorders>
            <w:vAlign w:val="top"/>
          </w:tcPr>
          <w:p>
            <w:pPr>
              <w:pStyle w:val="132"/>
              <w:spacing w:before="5"/>
              <w:rPr>
                <w:rFonts w:ascii="宋体" w:hAnsi="宋体" w:eastAsia="宋体" w:cs="宋体"/>
                <w:color w:val="0070C0"/>
                <w:kern w:val="0"/>
                <w:sz w:val="21"/>
                <w:szCs w:val="21"/>
                <w:lang w:val="zh-CN" w:eastAsia="zh-CN" w:bidi="zh-CN"/>
              </w:rPr>
            </w:pPr>
          </w:p>
          <w:p>
            <w:pPr>
              <w:pStyle w:val="132"/>
              <w:spacing w:before="4" w:line="235" w:lineRule="auto"/>
              <w:ind w:left="107" w:leftChars="0" w:right="84" w:rightChars="0"/>
              <w:jc w:val="both"/>
              <w:rPr>
                <w:rFonts w:ascii="宋体" w:hAnsi="宋体" w:eastAsia="宋体" w:cs="宋体"/>
                <w:color w:val="0070C0"/>
                <w:kern w:val="0"/>
                <w:sz w:val="21"/>
                <w:szCs w:val="21"/>
                <w:lang w:val="zh-CN" w:eastAsia="zh-CN" w:bidi="zh-CN"/>
              </w:rPr>
            </w:pPr>
            <w:r>
              <w:rPr>
                <w:rFonts w:ascii="宋体" w:hAnsi="宋体" w:eastAsia="宋体" w:cs="宋体"/>
                <w:color w:val="0070C0"/>
                <w:kern w:val="0"/>
                <w:sz w:val="21"/>
                <w:szCs w:val="21"/>
                <w:lang w:val="zh-CN" w:eastAsia="zh-CN" w:bidi="zh-CN"/>
              </w:rPr>
              <w:t>进入复审各投标人中的最低报价/ 该投标人的对应项目投标价)×</w:t>
            </w:r>
            <w:r>
              <w:rPr>
                <w:rFonts w:hint="eastAsia" w:cs="宋体"/>
                <w:color w:val="0070C0"/>
                <w:kern w:val="0"/>
                <w:sz w:val="21"/>
                <w:szCs w:val="21"/>
                <w:lang w:val="en-US" w:eastAsia="zh-CN" w:bidi="zh-CN"/>
              </w:rPr>
              <w:t>90</w:t>
            </w:r>
            <w:r>
              <w:rPr>
                <w:rFonts w:ascii="宋体" w:hAnsi="宋体" w:eastAsia="宋体" w:cs="宋体"/>
                <w:color w:val="0070C0"/>
                <w:kern w:val="0"/>
                <w:sz w:val="21"/>
                <w:szCs w:val="21"/>
                <w:lang w:val="zh-CN" w:eastAsia="zh-CN" w:bidi="zh-CN"/>
              </w:rPr>
              <w:t>分</w:t>
            </w:r>
          </w:p>
        </w:tc>
        <w:tc>
          <w:tcPr>
            <w:tcW w:w="1950" w:type="dxa"/>
            <w:tcBorders>
              <w:tl2br w:val="nil"/>
              <w:tr2bl w:val="nil"/>
            </w:tcBorders>
          </w:tcPr>
          <w:p>
            <w:pPr>
              <w:widowControl/>
              <w:adjustRightInd w:val="0"/>
              <w:snapToGrid w:val="0"/>
              <w:spacing w:line="360" w:lineRule="auto"/>
              <w:ind w:firstLine="560" w:firstLineChars="200"/>
              <w:textAlignment w:val="auto"/>
              <w:rPr>
                <w:rFonts w:hint="eastAsia" w:ascii="宋体" w:hAnsi="宋体" w:eastAsia="宋体" w:cs="宋体"/>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918" w:type="dxa"/>
            <w:tcBorders>
              <w:tl2br w:val="nil"/>
              <w:tr2bl w:val="nil"/>
            </w:tcBorders>
            <w:vAlign w:val="center"/>
          </w:tcPr>
          <w:p>
            <w:pPr>
              <w:widowControl/>
              <w:adjustRightInd w:val="0"/>
              <w:snapToGrid w:val="0"/>
              <w:spacing w:line="360" w:lineRule="auto"/>
              <w:jc w:val="center"/>
              <w:textAlignment w:val="auto"/>
              <w:rPr>
                <w:rFonts w:hint="default" w:ascii="宋体" w:hAnsi="宋体" w:eastAsia="宋体" w:cs="宋体"/>
                <w:color w:val="0070C0"/>
                <w:kern w:val="0"/>
                <w:sz w:val="21"/>
                <w:szCs w:val="21"/>
                <w:lang w:val="en-US" w:eastAsia="zh-CN" w:bidi="zh-CN"/>
              </w:rPr>
            </w:pPr>
            <w:r>
              <w:rPr>
                <w:rFonts w:hint="eastAsia" w:ascii="宋体" w:hAnsi="宋体" w:eastAsia="宋体" w:cs="宋体"/>
                <w:color w:val="0070C0"/>
                <w:kern w:val="0"/>
                <w:sz w:val="21"/>
                <w:szCs w:val="21"/>
                <w:lang w:val="en-US" w:eastAsia="zh-CN" w:bidi="zh-CN"/>
              </w:rPr>
              <w:t>2</w:t>
            </w:r>
          </w:p>
        </w:tc>
        <w:tc>
          <w:tcPr>
            <w:tcW w:w="18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eastAsia="宋体" w:cs="宋体"/>
                <w:color w:val="0070C0"/>
                <w:kern w:val="0"/>
                <w:sz w:val="21"/>
                <w:szCs w:val="21"/>
                <w:lang w:val="en-US" w:eastAsia="zh-CN" w:bidi="zh-CN"/>
              </w:rPr>
            </w:pPr>
            <w:r>
              <w:rPr>
                <w:rFonts w:hint="eastAsia" w:ascii="宋体" w:hAnsi="宋体" w:eastAsia="宋体" w:cs="宋体"/>
                <w:color w:val="0070C0"/>
                <w:kern w:val="0"/>
                <w:sz w:val="21"/>
                <w:szCs w:val="21"/>
                <w:lang w:val="en-US" w:eastAsia="zh-CN" w:bidi="zh-CN"/>
              </w:rPr>
              <w:t>三年期后每年系统维护费</w:t>
            </w:r>
          </w:p>
        </w:tc>
        <w:tc>
          <w:tcPr>
            <w:tcW w:w="1056" w:type="dxa"/>
            <w:tcBorders>
              <w:tl2br w:val="nil"/>
              <w:tr2bl w:val="nil"/>
            </w:tcBorders>
            <w:vAlign w:val="center"/>
          </w:tcPr>
          <w:p>
            <w:pPr>
              <w:widowControl/>
              <w:adjustRightInd w:val="0"/>
              <w:snapToGrid w:val="0"/>
              <w:spacing w:line="360" w:lineRule="auto"/>
              <w:jc w:val="center"/>
              <w:textAlignment w:val="auto"/>
              <w:rPr>
                <w:rFonts w:hint="default" w:ascii="宋体" w:hAnsi="宋体" w:eastAsia="宋体" w:cs="宋体"/>
                <w:color w:val="0070C0"/>
                <w:kern w:val="0"/>
                <w:sz w:val="21"/>
                <w:szCs w:val="21"/>
                <w:lang w:val="en-US" w:eastAsia="zh-CN" w:bidi="zh-CN"/>
              </w:rPr>
            </w:pPr>
            <w:r>
              <w:rPr>
                <w:rFonts w:hint="eastAsia" w:ascii="宋体" w:hAnsi="宋体" w:cs="宋体"/>
                <w:color w:val="0070C0"/>
                <w:kern w:val="0"/>
                <w:sz w:val="21"/>
                <w:szCs w:val="21"/>
                <w:lang w:val="en-US" w:eastAsia="zh-CN" w:bidi="zh-CN"/>
              </w:rPr>
              <w:t>1</w:t>
            </w:r>
            <w:r>
              <w:rPr>
                <w:rFonts w:hint="eastAsia" w:ascii="宋体" w:hAnsi="宋体" w:eastAsia="宋体" w:cs="宋体"/>
                <w:color w:val="0070C0"/>
                <w:kern w:val="0"/>
                <w:sz w:val="21"/>
                <w:szCs w:val="21"/>
                <w:lang w:val="en-US" w:eastAsia="zh-CN" w:bidi="zh-CN"/>
              </w:rPr>
              <w:t>0分</w:t>
            </w:r>
          </w:p>
        </w:tc>
        <w:tc>
          <w:tcPr>
            <w:tcW w:w="3298" w:type="dxa"/>
            <w:tcBorders>
              <w:tl2br w:val="nil"/>
              <w:tr2bl w:val="nil"/>
            </w:tcBorders>
            <w:vAlign w:val="top"/>
          </w:tcPr>
          <w:p>
            <w:pPr>
              <w:pStyle w:val="132"/>
              <w:spacing w:before="5"/>
              <w:rPr>
                <w:rFonts w:hint="default" w:ascii="宋体" w:hAnsi="宋体" w:eastAsia="宋体" w:cs="宋体"/>
                <w:color w:val="0070C0"/>
                <w:kern w:val="0"/>
                <w:sz w:val="21"/>
                <w:szCs w:val="21"/>
                <w:lang w:val="en-US" w:eastAsia="zh-CN" w:bidi="zh-CN"/>
              </w:rPr>
            </w:pPr>
            <w:r>
              <w:rPr>
                <w:rFonts w:ascii="宋体" w:hAnsi="宋体" w:eastAsia="宋体" w:cs="宋体"/>
                <w:color w:val="0070C0"/>
                <w:kern w:val="0"/>
                <w:sz w:val="21"/>
                <w:szCs w:val="21"/>
                <w:lang w:val="zh-CN" w:eastAsia="zh-CN" w:bidi="zh-CN"/>
              </w:rPr>
              <w:t>进入复审各投标人中的最低报价/ 该投标人的对应项目投标价)×</w:t>
            </w:r>
            <w:r>
              <w:rPr>
                <w:rFonts w:hint="eastAsia" w:cs="宋体"/>
                <w:color w:val="0070C0"/>
                <w:kern w:val="0"/>
                <w:sz w:val="21"/>
                <w:szCs w:val="21"/>
                <w:lang w:val="en-US" w:eastAsia="zh-CN" w:bidi="zh-CN"/>
              </w:rPr>
              <w:t>1</w:t>
            </w:r>
            <w:r>
              <w:rPr>
                <w:rFonts w:hint="eastAsia" w:ascii="宋体" w:hAnsi="宋体" w:eastAsia="宋体" w:cs="宋体"/>
                <w:color w:val="0070C0"/>
                <w:kern w:val="0"/>
                <w:sz w:val="21"/>
                <w:szCs w:val="21"/>
                <w:lang w:val="en-US" w:eastAsia="zh-CN" w:bidi="zh-CN"/>
              </w:rPr>
              <w:t>0</w:t>
            </w:r>
            <w:r>
              <w:rPr>
                <w:rFonts w:ascii="宋体" w:hAnsi="宋体" w:eastAsia="宋体" w:cs="宋体"/>
                <w:color w:val="0070C0"/>
                <w:kern w:val="0"/>
                <w:sz w:val="21"/>
                <w:szCs w:val="21"/>
                <w:lang w:val="zh-CN" w:eastAsia="zh-CN" w:bidi="zh-CN"/>
              </w:rPr>
              <w:t>分</w:t>
            </w:r>
          </w:p>
        </w:tc>
        <w:tc>
          <w:tcPr>
            <w:tcW w:w="1950" w:type="dxa"/>
            <w:tcBorders>
              <w:tl2br w:val="nil"/>
              <w:tr2bl w:val="nil"/>
            </w:tcBorders>
          </w:tcPr>
          <w:p>
            <w:pPr>
              <w:widowControl/>
              <w:adjustRightInd w:val="0"/>
              <w:snapToGrid w:val="0"/>
              <w:spacing w:line="360" w:lineRule="auto"/>
              <w:textAlignment w:val="auto"/>
              <w:rPr>
                <w:rFonts w:hint="eastAsia" w:cs="宋体"/>
                <w:color w:val="auto"/>
                <w:sz w:val="28"/>
                <w:szCs w:val="28"/>
                <w:lang w:val="en-US" w:eastAsia="zh-CN"/>
              </w:rPr>
            </w:pPr>
          </w:p>
        </w:tc>
      </w:tr>
    </w:tbl>
    <w:p>
      <w:pPr>
        <w:spacing w:after="3" w:line="242" w:lineRule="auto"/>
        <w:ind w:right="8163"/>
        <w:rPr>
          <w:b/>
          <w:color w:val="0070C0"/>
          <w:sz w:val="24"/>
        </w:rPr>
      </w:pPr>
    </w:p>
    <w:p>
      <w:pPr>
        <w:spacing w:line="360" w:lineRule="auto"/>
        <w:ind w:firstLine="420" w:firstLineChars="200"/>
        <w:rPr>
          <w:rFonts w:ascii="宋体" w:hAnsi="宋体"/>
          <w:color w:val="0070C0"/>
        </w:rPr>
      </w:pPr>
      <w:r>
        <w:rPr>
          <w:rFonts w:hint="eastAsia" w:ascii="宋体" w:hAnsi="宋体"/>
          <w:color w:val="0070C0"/>
        </w:rPr>
        <w:t>3、</w:t>
      </w:r>
      <w:r>
        <w:rPr>
          <w:rFonts w:ascii="宋体" w:hAnsi="宋体"/>
          <w:color w:val="0070C0"/>
        </w:rPr>
        <w:t>评标委员会应遵照以下原则推荐中标候选人：</w:t>
      </w:r>
    </w:p>
    <w:p>
      <w:pPr>
        <w:spacing w:line="360" w:lineRule="auto"/>
        <w:ind w:firstLine="420" w:firstLineChars="200"/>
        <w:rPr>
          <w:rFonts w:ascii="宋体" w:hAnsi="宋体"/>
          <w:color w:val="0070C0"/>
          <w:highlight w:val="none"/>
        </w:rPr>
      </w:pPr>
      <w:r>
        <w:rPr>
          <w:rFonts w:hint="eastAsia" w:ascii="宋体" w:hAnsi="宋体"/>
          <w:color w:val="0070C0"/>
        </w:rPr>
        <w:t>各评委对同一投标人的综合评分的算术平均值即为投标人的综合得分，评标委员会</w:t>
      </w:r>
      <w:r>
        <w:rPr>
          <w:rFonts w:ascii="宋体" w:hAnsi="宋体"/>
          <w:color w:val="0070C0"/>
        </w:rPr>
        <w:t>按</w:t>
      </w:r>
      <w:r>
        <w:rPr>
          <w:rFonts w:hint="eastAsia" w:ascii="宋体" w:hAnsi="宋体"/>
          <w:color w:val="0070C0"/>
        </w:rPr>
        <w:t>投标人</w:t>
      </w:r>
      <w:r>
        <w:rPr>
          <w:rFonts w:ascii="宋体" w:hAnsi="宋体"/>
          <w:color w:val="0070C0"/>
        </w:rPr>
        <w:t>综合得分由高至低的次序</w:t>
      </w:r>
      <w:r>
        <w:rPr>
          <w:rFonts w:ascii="宋体" w:hAnsi="宋体"/>
          <w:color w:val="0070C0"/>
          <w:highlight w:val="none"/>
        </w:rPr>
        <w:t>，推荐排名次序位于前两名的投标人作为中标候选人。如果在排序中出现评审得分相同的情况，则投标价格较低的投标人排序优先；如果投标价格也一样，则技术部分得分较高者排序优先</w:t>
      </w:r>
      <w:r>
        <w:rPr>
          <w:rFonts w:hint="eastAsia" w:ascii="宋体" w:hAnsi="宋体"/>
          <w:color w:val="0070C0"/>
          <w:highlight w:val="none"/>
        </w:rPr>
        <w:t>。</w:t>
      </w:r>
    </w:p>
    <w:p>
      <w:pPr>
        <w:spacing w:line="360" w:lineRule="auto"/>
        <w:ind w:firstLine="420" w:firstLineChars="200"/>
        <w:rPr>
          <w:rFonts w:ascii="宋体" w:hAnsi="宋体"/>
          <w:color w:val="0070C0"/>
        </w:rPr>
      </w:pPr>
      <w:r>
        <w:rPr>
          <w:rFonts w:hint="eastAsia" w:ascii="宋体" w:hAnsi="宋体"/>
          <w:color w:val="0070C0"/>
        </w:rPr>
        <w:t>4、确定中标人</w:t>
      </w:r>
    </w:p>
    <w:p>
      <w:pPr>
        <w:spacing w:line="360" w:lineRule="auto"/>
        <w:ind w:firstLine="420" w:firstLineChars="200"/>
        <w:rPr>
          <w:rFonts w:ascii="宋体" w:hAnsi="宋体"/>
          <w:color w:val="0070C0"/>
        </w:rPr>
      </w:pPr>
      <w:r>
        <w:rPr>
          <w:rFonts w:hint="eastAsia" w:ascii="宋体" w:hAnsi="宋体"/>
          <w:color w:val="0070C0"/>
        </w:rPr>
        <w:t>评标委员会按照推荐的中标候选人顺序，确定排名第一的中标候选人为中标人。</w:t>
      </w:r>
    </w:p>
    <w:p>
      <w:pPr>
        <w:pStyle w:val="6"/>
        <w:rPr>
          <w:rFonts w:hint="eastAsia"/>
          <w:color w:val="0070C0"/>
        </w:rPr>
      </w:pPr>
      <w:bookmarkStart w:id="285" w:name="_Toc394068420"/>
      <w:bookmarkStart w:id="286" w:name="_Toc473902485"/>
      <w:bookmarkStart w:id="287" w:name="_Toc353448512"/>
      <w:r>
        <w:rPr>
          <w:rFonts w:hint="eastAsia"/>
          <w:color w:val="0070C0"/>
        </w:rPr>
        <w:t>五、</w:t>
      </w:r>
      <w:r>
        <w:rPr>
          <w:color w:val="0070C0"/>
        </w:rPr>
        <w:t>评标报告</w:t>
      </w:r>
      <w:bookmarkEnd w:id="285"/>
      <w:bookmarkEnd w:id="286"/>
      <w:bookmarkEnd w:id="287"/>
    </w:p>
    <w:p>
      <w:pPr>
        <w:spacing w:line="360" w:lineRule="auto"/>
        <w:ind w:firstLine="420" w:firstLineChars="200"/>
        <w:rPr>
          <w:rFonts w:ascii="宋体" w:hAnsi="宋体"/>
          <w:color w:val="0070C0"/>
        </w:rPr>
      </w:pPr>
      <w:r>
        <w:rPr>
          <w:rFonts w:ascii="宋体" w:hAnsi="宋体"/>
          <w:color w:val="0070C0"/>
        </w:rPr>
        <w:t>评标委员会完成评标后，应当向招标人提出书面评标报告。评标报告应当由全体评标委员会成员签字，并如实记载以下内容：</w:t>
      </w:r>
    </w:p>
    <w:p>
      <w:pPr>
        <w:spacing w:line="360" w:lineRule="auto"/>
        <w:ind w:firstLine="420" w:firstLineChars="200"/>
        <w:rPr>
          <w:rFonts w:ascii="宋体" w:hAnsi="宋体"/>
          <w:color w:val="0070C0"/>
        </w:rPr>
      </w:pPr>
      <w:r>
        <w:rPr>
          <w:rFonts w:ascii="宋体" w:hAnsi="宋体"/>
          <w:color w:val="0070C0"/>
        </w:rPr>
        <w:t>1</w:t>
      </w:r>
      <w:r>
        <w:rPr>
          <w:rFonts w:hint="eastAsia" w:ascii="宋体" w:hAnsi="宋体"/>
          <w:color w:val="0070C0"/>
        </w:rPr>
        <w:t>、</w:t>
      </w:r>
      <w:r>
        <w:rPr>
          <w:rFonts w:ascii="宋体" w:hAnsi="宋体"/>
          <w:color w:val="0070C0"/>
        </w:rPr>
        <w:t>基本情况和数据表；</w:t>
      </w:r>
    </w:p>
    <w:p>
      <w:pPr>
        <w:spacing w:line="360" w:lineRule="auto"/>
        <w:ind w:firstLine="420" w:firstLineChars="200"/>
        <w:rPr>
          <w:rFonts w:ascii="宋体" w:hAnsi="宋体"/>
          <w:color w:val="0070C0"/>
        </w:rPr>
      </w:pPr>
      <w:r>
        <w:rPr>
          <w:rFonts w:ascii="宋体" w:hAnsi="宋体"/>
          <w:color w:val="0070C0"/>
        </w:rPr>
        <w:t>2</w:t>
      </w:r>
      <w:r>
        <w:rPr>
          <w:rFonts w:hint="eastAsia" w:ascii="宋体" w:hAnsi="宋体"/>
          <w:color w:val="0070C0"/>
        </w:rPr>
        <w:t>、</w:t>
      </w:r>
      <w:r>
        <w:rPr>
          <w:rFonts w:ascii="宋体" w:hAnsi="宋体"/>
          <w:color w:val="0070C0"/>
        </w:rPr>
        <w:t>评标委员会成员名单；</w:t>
      </w:r>
    </w:p>
    <w:p>
      <w:pPr>
        <w:spacing w:line="360" w:lineRule="auto"/>
        <w:ind w:firstLine="420" w:firstLineChars="200"/>
        <w:rPr>
          <w:rFonts w:ascii="宋体" w:hAnsi="宋体"/>
          <w:color w:val="0070C0"/>
        </w:rPr>
      </w:pPr>
      <w:r>
        <w:rPr>
          <w:rFonts w:ascii="宋体" w:hAnsi="宋体"/>
          <w:color w:val="0070C0"/>
        </w:rPr>
        <w:t>3</w:t>
      </w:r>
      <w:r>
        <w:rPr>
          <w:rFonts w:hint="eastAsia" w:ascii="宋体" w:hAnsi="宋体"/>
          <w:color w:val="0070C0"/>
        </w:rPr>
        <w:t>、</w:t>
      </w:r>
      <w:r>
        <w:rPr>
          <w:rFonts w:ascii="宋体" w:hAnsi="宋体"/>
          <w:color w:val="0070C0"/>
        </w:rPr>
        <w:t>开标记录；</w:t>
      </w:r>
    </w:p>
    <w:p>
      <w:pPr>
        <w:spacing w:line="360" w:lineRule="auto"/>
        <w:ind w:firstLine="420" w:firstLineChars="200"/>
        <w:rPr>
          <w:rFonts w:ascii="宋体" w:hAnsi="宋体"/>
          <w:color w:val="0070C0"/>
        </w:rPr>
      </w:pPr>
      <w:r>
        <w:rPr>
          <w:rFonts w:ascii="宋体" w:hAnsi="宋体"/>
          <w:color w:val="0070C0"/>
        </w:rPr>
        <w:t>4</w:t>
      </w:r>
      <w:r>
        <w:rPr>
          <w:rFonts w:hint="eastAsia" w:ascii="宋体" w:hAnsi="宋体"/>
          <w:color w:val="0070C0"/>
        </w:rPr>
        <w:t>、</w:t>
      </w:r>
      <w:r>
        <w:rPr>
          <w:rFonts w:ascii="宋体" w:hAnsi="宋体"/>
          <w:color w:val="0070C0"/>
        </w:rPr>
        <w:t>符合要求的投标一览表；</w:t>
      </w:r>
    </w:p>
    <w:p>
      <w:pPr>
        <w:spacing w:line="360" w:lineRule="auto"/>
        <w:ind w:firstLine="420" w:firstLineChars="200"/>
        <w:rPr>
          <w:rFonts w:ascii="宋体" w:hAnsi="宋体"/>
          <w:color w:val="0070C0"/>
        </w:rPr>
      </w:pPr>
      <w:r>
        <w:rPr>
          <w:rFonts w:ascii="宋体" w:hAnsi="宋体"/>
          <w:color w:val="0070C0"/>
        </w:rPr>
        <w:t>5</w:t>
      </w:r>
      <w:r>
        <w:rPr>
          <w:rFonts w:hint="eastAsia" w:ascii="宋体" w:hAnsi="宋体"/>
          <w:color w:val="0070C0"/>
        </w:rPr>
        <w:t>、</w:t>
      </w:r>
      <w:r>
        <w:rPr>
          <w:rFonts w:ascii="宋体" w:hAnsi="宋体"/>
          <w:color w:val="0070C0"/>
        </w:rPr>
        <w:t>废标情况说明；</w:t>
      </w:r>
    </w:p>
    <w:p>
      <w:pPr>
        <w:spacing w:line="360" w:lineRule="auto"/>
        <w:ind w:firstLine="420" w:firstLineChars="200"/>
        <w:rPr>
          <w:rFonts w:ascii="宋体" w:hAnsi="宋体"/>
          <w:color w:val="0070C0"/>
        </w:rPr>
      </w:pPr>
      <w:r>
        <w:rPr>
          <w:rFonts w:ascii="宋体" w:hAnsi="宋体"/>
          <w:color w:val="0070C0"/>
        </w:rPr>
        <w:t>6</w:t>
      </w:r>
      <w:r>
        <w:rPr>
          <w:rFonts w:hint="eastAsia" w:ascii="宋体" w:hAnsi="宋体"/>
          <w:color w:val="0070C0"/>
        </w:rPr>
        <w:t>、</w:t>
      </w:r>
      <w:r>
        <w:rPr>
          <w:rFonts w:ascii="宋体" w:hAnsi="宋体"/>
          <w:color w:val="0070C0"/>
        </w:rPr>
        <w:t>评标标准、评标方法；</w:t>
      </w:r>
    </w:p>
    <w:p>
      <w:pPr>
        <w:spacing w:line="360" w:lineRule="auto"/>
        <w:ind w:firstLine="420" w:firstLineChars="200"/>
        <w:rPr>
          <w:rFonts w:ascii="宋体" w:hAnsi="宋体"/>
          <w:color w:val="0070C0"/>
        </w:rPr>
      </w:pPr>
      <w:r>
        <w:rPr>
          <w:rFonts w:ascii="宋体" w:hAnsi="宋体"/>
          <w:color w:val="0070C0"/>
        </w:rPr>
        <w:t>7</w:t>
      </w:r>
      <w:r>
        <w:rPr>
          <w:rFonts w:hint="eastAsia" w:ascii="宋体" w:hAnsi="宋体"/>
          <w:color w:val="0070C0"/>
        </w:rPr>
        <w:t>、</w:t>
      </w:r>
      <w:r>
        <w:rPr>
          <w:rFonts w:ascii="宋体" w:hAnsi="宋体"/>
          <w:color w:val="0070C0"/>
        </w:rPr>
        <w:t>经评审的价格或者评分一览表；</w:t>
      </w:r>
    </w:p>
    <w:p>
      <w:pPr>
        <w:spacing w:line="360" w:lineRule="auto"/>
        <w:ind w:firstLine="420" w:firstLineChars="200"/>
        <w:rPr>
          <w:rFonts w:ascii="宋体" w:hAnsi="宋体"/>
          <w:color w:val="0070C0"/>
        </w:rPr>
      </w:pPr>
      <w:r>
        <w:rPr>
          <w:rFonts w:ascii="宋体" w:hAnsi="宋体"/>
          <w:color w:val="0070C0"/>
        </w:rPr>
        <w:t>8</w:t>
      </w:r>
      <w:r>
        <w:rPr>
          <w:rFonts w:hint="eastAsia" w:ascii="宋体" w:hAnsi="宋体"/>
          <w:color w:val="0070C0"/>
        </w:rPr>
        <w:t>、</w:t>
      </w:r>
      <w:r>
        <w:rPr>
          <w:rFonts w:ascii="宋体" w:hAnsi="宋体"/>
          <w:color w:val="0070C0"/>
        </w:rPr>
        <w:t>经评审的投标人排序；</w:t>
      </w:r>
    </w:p>
    <w:p>
      <w:pPr>
        <w:spacing w:line="360" w:lineRule="auto"/>
        <w:ind w:firstLine="420" w:firstLineChars="200"/>
        <w:rPr>
          <w:rFonts w:ascii="宋体" w:hAnsi="宋体"/>
          <w:color w:val="0070C0"/>
        </w:rPr>
      </w:pPr>
      <w:r>
        <w:rPr>
          <w:rFonts w:ascii="宋体" w:hAnsi="宋体"/>
          <w:color w:val="0070C0"/>
        </w:rPr>
        <w:t>9</w:t>
      </w:r>
      <w:r>
        <w:rPr>
          <w:rFonts w:hint="eastAsia" w:ascii="宋体" w:hAnsi="宋体"/>
          <w:color w:val="0070C0"/>
        </w:rPr>
        <w:t>、</w:t>
      </w:r>
      <w:r>
        <w:rPr>
          <w:rFonts w:ascii="宋体" w:hAnsi="宋体"/>
          <w:color w:val="0070C0"/>
        </w:rPr>
        <w:t>推荐的中标人名单</w:t>
      </w:r>
      <w:r>
        <w:rPr>
          <w:rFonts w:hint="eastAsia" w:ascii="宋体" w:hAnsi="宋体"/>
          <w:color w:val="0070C0"/>
        </w:rPr>
        <w:t>。</w:t>
      </w:r>
    </w:p>
    <w:p>
      <w:pPr>
        <w:pStyle w:val="5"/>
        <w:rPr>
          <w:color w:val="0070C0"/>
          <w:sz w:val="28"/>
        </w:rPr>
      </w:pPr>
      <w:bookmarkStart w:id="288" w:name="_Toc473902486"/>
      <w:bookmarkStart w:id="289" w:name="_Toc394068421"/>
      <w:r>
        <w:rPr>
          <w:rFonts w:hint="eastAsia"/>
          <w:color w:val="0070C0"/>
          <w:sz w:val="28"/>
        </w:rPr>
        <w:t>第四章 合同主要条款</w:t>
      </w:r>
      <w:bookmarkEnd w:id="11"/>
      <w:bookmarkEnd w:id="12"/>
      <w:bookmarkEnd w:id="13"/>
      <w:bookmarkEnd w:id="14"/>
      <w:bookmarkEnd w:id="288"/>
      <w:bookmarkEnd w:id="289"/>
      <w:bookmarkStart w:id="290" w:name="_Toc388887661"/>
      <w:bookmarkStart w:id="291" w:name="_Toc388887300"/>
      <w:bookmarkStart w:id="292" w:name="_Toc349985300"/>
      <w:bookmarkStart w:id="293" w:name="_Toc22384"/>
      <w:r>
        <w:rPr>
          <w:color w:val="0070C0"/>
          <w:sz w:val="28"/>
        </w:rPr>
        <w:t xml:space="preserve">    </w:t>
      </w:r>
    </w:p>
    <w:p>
      <w:pPr>
        <w:pStyle w:val="5"/>
        <w:rPr>
          <w:color w:val="0070C0"/>
          <w:sz w:val="28"/>
        </w:rPr>
      </w:pPr>
      <w:r>
        <w:rPr>
          <w:color w:val="0070C0"/>
          <w:sz w:val="28"/>
        </w:rPr>
        <w:t xml:space="preserve">                   </w:t>
      </w:r>
    </w:p>
    <w:p>
      <w:pPr>
        <w:keepNext w:val="0"/>
        <w:keepLines w:val="0"/>
        <w:pageBreakBefore w:val="0"/>
        <w:numPr>
          <w:ilvl w:val="0"/>
          <w:numId w:val="2"/>
        </w:numPr>
        <w:kinsoku/>
        <w:wordWrap/>
        <w:overflowPunct/>
        <w:topLinePunct w:val="0"/>
        <w:bidi w:val="0"/>
        <w:adjustRightInd/>
        <w:snapToGrid w:val="0"/>
        <w:spacing w:line="360" w:lineRule="auto"/>
        <w:ind w:left="0" w:leftChars="0" w:firstLine="0" w:firstLineChars="0"/>
        <w:textAlignment w:val="auto"/>
        <w:rPr>
          <w:color w:val="auto"/>
          <w:szCs w:val="21"/>
        </w:rPr>
      </w:pPr>
      <w:r>
        <w:rPr>
          <w:rFonts w:hint="eastAsia"/>
          <w:color w:val="auto"/>
          <w:szCs w:val="21"/>
        </w:rPr>
        <w:t>项目内容</w:t>
      </w:r>
    </w:p>
    <w:p>
      <w:pPr>
        <w:keepNext w:val="0"/>
        <w:keepLines w:val="0"/>
        <w:pageBreakBefore w:val="0"/>
        <w:kinsoku/>
        <w:wordWrap/>
        <w:overflowPunct/>
        <w:topLinePunct w:val="0"/>
        <w:bidi w:val="0"/>
        <w:adjustRightInd/>
        <w:snapToGrid w:val="0"/>
        <w:spacing w:line="360" w:lineRule="auto"/>
        <w:textAlignment w:val="auto"/>
        <w:rPr>
          <w:rFonts w:hint="eastAsia"/>
          <w:color w:val="auto"/>
          <w:szCs w:val="21"/>
          <w:lang w:val="en-US" w:eastAsia="zh-CN"/>
        </w:rPr>
      </w:pPr>
      <w:r>
        <w:rPr>
          <w:rFonts w:hint="eastAsia"/>
          <w:color w:val="auto"/>
          <w:szCs w:val="21"/>
          <w:lang w:eastAsia="zh-CN"/>
        </w:rPr>
        <w:t>为安徽相王医疗健康股份有限公司下的安徽皖北康复医院、淮北市职业病防治院、淮北市相山区西街道社区服务中心提供</w:t>
      </w:r>
      <w:r>
        <w:rPr>
          <w:rFonts w:hint="eastAsia"/>
          <w:color w:val="auto"/>
          <w:szCs w:val="21"/>
          <w:lang w:val="en-US" w:eastAsia="zh-CN"/>
        </w:rPr>
        <w:t>DRG综合管理信息软件。</w:t>
      </w:r>
    </w:p>
    <w:p>
      <w:pPr>
        <w:keepNext w:val="0"/>
        <w:keepLines w:val="0"/>
        <w:pageBreakBefore w:val="0"/>
        <w:numPr>
          <w:ilvl w:val="0"/>
          <w:numId w:val="2"/>
        </w:numPr>
        <w:kinsoku/>
        <w:wordWrap/>
        <w:overflowPunct/>
        <w:topLinePunct w:val="0"/>
        <w:bidi w:val="0"/>
        <w:adjustRightInd/>
        <w:snapToGrid w:val="0"/>
        <w:spacing w:line="360" w:lineRule="auto"/>
        <w:ind w:left="0" w:leftChars="0" w:firstLine="0" w:firstLineChars="0"/>
        <w:textAlignment w:val="auto"/>
        <w:rPr>
          <w:rFonts w:hint="eastAsia"/>
          <w:color w:val="auto"/>
          <w:szCs w:val="21"/>
        </w:rPr>
      </w:pPr>
      <w:r>
        <w:rPr>
          <w:rFonts w:hint="eastAsia"/>
          <w:color w:val="auto"/>
          <w:szCs w:val="21"/>
        </w:rPr>
        <w:t>价格</w:t>
      </w:r>
    </w:p>
    <w:p>
      <w:pPr>
        <w:pStyle w:val="2"/>
        <w:keepNext w:val="0"/>
        <w:keepLines w:val="0"/>
        <w:pageBreakBefore w:val="0"/>
        <w:numPr>
          <w:ilvl w:val="0"/>
          <w:numId w:val="0"/>
        </w:numPr>
        <w:kinsoku/>
        <w:wordWrap/>
        <w:overflowPunct/>
        <w:topLinePunct w:val="0"/>
        <w:bidi w:val="0"/>
        <w:adjustRightInd/>
        <w:spacing w:line="360" w:lineRule="auto"/>
        <w:ind w:left="0" w:leftChars="0" w:firstLine="0" w:firstLineChars="0"/>
        <w:textAlignment w:val="auto"/>
        <w:rPr>
          <w:rFonts w:hint="eastAsia"/>
          <w:color w:val="auto"/>
        </w:rPr>
      </w:pPr>
      <w:r>
        <w:rPr>
          <w:rFonts w:hint="eastAsia"/>
          <w:color w:val="auto"/>
        </w:rPr>
        <w:t>报价包含完成本项目所有内容的费用</w:t>
      </w:r>
      <w:r>
        <w:rPr>
          <w:rFonts w:hint="eastAsia"/>
          <w:color w:val="auto"/>
          <w:lang w:eastAsia="zh-CN"/>
        </w:rPr>
        <w:t>，</w:t>
      </w:r>
      <w:r>
        <w:rPr>
          <w:rFonts w:hint="eastAsia"/>
          <w:color w:val="auto"/>
        </w:rPr>
        <w:t>含</w:t>
      </w:r>
      <w:r>
        <w:rPr>
          <w:rFonts w:hint="eastAsia"/>
          <w:color w:val="auto"/>
          <w:lang w:eastAsia="zh-CN"/>
        </w:rPr>
        <w:t>人工费、培训费、材料费、交通费、食宿费、</w:t>
      </w:r>
      <w:r>
        <w:rPr>
          <w:rFonts w:hint="eastAsia"/>
          <w:color w:val="auto"/>
        </w:rPr>
        <w:t>税费</w:t>
      </w:r>
      <w:r>
        <w:rPr>
          <w:rFonts w:hint="eastAsia"/>
          <w:color w:val="auto"/>
          <w:lang w:eastAsia="zh-CN"/>
        </w:rPr>
        <w:t>、</w:t>
      </w:r>
      <w:r>
        <w:rPr>
          <w:rFonts w:hint="eastAsia"/>
          <w:color w:val="auto"/>
        </w:rPr>
        <w:t>安装调试等伴随</w:t>
      </w:r>
      <w:r>
        <w:rPr>
          <w:rFonts w:hint="eastAsia"/>
          <w:color w:val="auto"/>
          <w:lang w:eastAsia="zh-CN"/>
        </w:rPr>
        <w:t>一切费用，即招标人不再承担任何费用</w:t>
      </w:r>
      <w:r>
        <w:rPr>
          <w:rFonts w:hint="eastAsia"/>
          <w:color w:val="auto"/>
        </w:rPr>
        <w:t>。</w:t>
      </w:r>
    </w:p>
    <w:p>
      <w:pPr>
        <w:keepNext w:val="0"/>
        <w:keepLines w:val="0"/>
        <w:pageBreakBefore w:val="0"/>
        <w:numPr>
          <w:ilvl w:val="0"/>
          <w:numId w:val="0"/>
        </w:numPr>
        <w:kinsoku/>
        <w:wordWrap/>
        <w:overflowPunct/>
        <w:topLinePunct w:val="0"/>
        <w:bidi w:val="0"/>
        <w:adjustRightInd/>
        <w:snapToGrid w:val="0"/>
        <w:spacing w:line="360" w:lineRule="auto"/>
        <w:ind w:left="0" w:leftChars="0" w:firstLine="0" w:firstLineChars="0"/>
        <w:textAlignment w:val="auto"/>
        <w:rPr>
          <w:rFonts w:hint="eastAsia"/>
          <w:color w:val="auto"/>
          <w:szCs w:val="21"/>
        </w:rPr>
      </w:pPr>
      <w:r>
        <w:rPr>
          <w:rFonts w:hint="eastAsia"/>
          <w:color w:val="auto"/>
          <w:szCs w:val="21"/>
          <w:lang w:eastAsia="zh-CN"/>
        </w:rPr>
        <w:t>三、</w:t>
      </w:r>
      <w:r>
        <w:rPr>
          <w:rFonts w:hint="eastAsia"/>
          <w:color w:val="auto"/>
          <w:szCs w:val="21"/>
        </w:rPr>
        <w:t xml:space="preserve">交货及安装调试 </w:t>
      </w:r>
    </w:p>
    <w:p>
      <w:pPr>
        <w:pStyle w:val="2"/>
        <w:keepNext w:val="0"/>
        <w:keepLines w:val="0"/>
        <w:pageBreakBefore w:val="0"/>
        <w:numPr>
          <w:ilvl w:val="0"/>
          <w:numId w:val="0"/>
        </w:numPr>
        <w:kinsoku/>
        <w:wordWrap/>
        <w:overflowPunct/>
        <w:topLinePunct w:val="0"/>
        <w:bidi w:val="0"/>
        <w:adjustRightInd/>
        <w:spacing w:line="360" w:lineRule="auto"/>
        <w:ind w:left="0" w:leftChars="0" w:firstLine="0" w:firstLineChars="0"/>
        <w:textAlignment w:val="auto"/>
        <w:rPr>
          <w:rFonts w:hint="eastAsia"/>
          <w:color w:val="auto"/>
        </w:rPr>
      </w:pPr>
      <w:r>
        <w:rPr>
          <w:rFonts w:hint="eastAsia"/>
          <w:color w:val="auto"/>
        </w:rPr>
        <w:t>3.1 安装地点：</w:t>
      </w:r>
      <w:r>
        <w:rPr>
          <w:rFonts w:hint="eastAsia"/>
          <w:color w:val="auto"/>
          <w:lang w:eastAsia="zh-CN"/>
        </w:rPr>
        <w:t>甲方</w:t>
      </w:r>
      <w:r>
        <w:rPr>
          <w:rFonts w:hint="eastAsia"/>
          <w:color w:val="auto"/>
        </w:rPr>
        <w:t xml:space="preserve">指定地点。 </w:t>
      </w:r>
    </w:p>
    <w:p>
      <w:pPr>
        <w:pStyle w:val="2"/>
        <w:keepNext w:val="0"/>
        <w:keepLines w:val="0"/>
        <w:pageBreakBefore w:val="0"/>
        <w:numPr>
          <w:ilvl w:val="0"/>
          <w:numId w:val="0"/>
        </w:numPr>
        <w:kinsoku/>
        <w:wordWrap/>
        <w:overflowPunct/>
        <w:topLinePunct w:val="0"/>
        <w:bidi w:val="0"/>
        <w:adjustRightInd/>
        <w:spacing w:line="360" w:lineRule="auto"/>
        <w:ind w:left="0" w:leftChars="0" w:firstLine="0" w:firstLineChars="0"/>
        <w:textAlignment w:val="auto"/>
        <w:rPr>
          <w:rFonts w:hint="eastAsia"/>
          <w:color w:val="auto"/>
          <w:sz w:val="21"/>
          <w:szCs w:val="21"/>
        </w:rPr>
      </w:pPr>
      <w:r>
        <w:rPr>
          <w:rFonts w:hint="eastAsia"/>
          <w:color w:val="auto"/>
        </w:rPr>
        <w:t>3.2 实施周期：合同签订之日起天60内，完成系统安装部署并进入试运行阶段。试运行期为30天，当主要指标（监控性能、可靠性、稳定性）在试运行验收满足要求后，最终验收才能进行。如在规定的时间内由于投标商的原因不能完成安装和调试，投标商应承担由此给用户</w:t>
      </w:r>
      <w:r>
        <w:rPr>
          <w:rFonts w:hint="eastAsia"/>
          <w:color w:val="auto"/>
          <w:sz w:val="21"/>
          <w:szCs w:val="21"/>
        </w:rPr>
        <w:t xml:space="preserve">造成的损失。 </w:t>
      </w:r>
    </w:p>
    <w:p>
      <w:pPr>
        <w:pStyle w:val="2"/>
        <w:keepNext w:val="0"/>
        <w:keepLines w:val="0"/>
        <w:pageBreakBefore w:val="0"/>
        <w:numPr>
          <w:ilvl w:val="0"/>
          <w:numId w:val="0"/>
        </w:numPr>
        <w:kinsoku/>
        <w:wordWrap/>
        <w:overflowPunct/>
        <w:topLinePunct w:val="0"/>
        <w:bidi w:val="0"/>
        <w:adjustRightInd/>
        <w:spacing w:line="360" w:lineRule="auto"/>
        <w:ind w:left="0" w:leftChars="0" w:firstLine="0" w:firstLineChars="0"/>
        <w:textAlignment w:val="auto"/>
        <w:rPr>
          <w:rFonts w:hint="eastAsia"/>
          <w:color w:val="auto"/>
          <w:sz w:val="21"/>
          <w:szCs w:val="21"/>
        </w:rPr>
      </w:pPr>
      <w:r>
        <w:rPr>
          <w:rFonts w:hint="eastAsia"/>
          <w:color w:val="auto"/>
          <w:sz w:val="21"/>
          <w:szCs w:val="21"/>
        </w:rPr>
        <w:t xml:space="preserve">3.3 安装标准：符合我国国家有关技术规范要求和技术标准。 </w:t>
      </w:r>
    </w:p>
    <w:p>
      <w:pPr>
        <w:pStyle w:val="2"/>
        <w:keepNext w:val="0"/>
        <w:keepLines w:val="0"/>
        <w:pageBreakBefore w:val="0"/>
        <w:numPr>
          <w:ilvl w:val="0"/>
          <w:numId w:val="0"/>
        </w:numPr>
        <w:kinsoku/>
        <w:wordWrap/>
        <w:overflowPunct/>
        <w:topLinePunct w:val="0"/>
        <w:bidi w:val="0"/>
        <w:adjustRightInd/>
        <w:spacing w:line="360" w:lineRule="auto"/>
        <w:ind w:left="0" w:leftChars="0" w:firstLine="0" w:firstLineChars="0"/>
        <w:textAlignment w:val="auto"/>
        <w:rPr>
          <w:rFonts w:hint="eastAsia"/>
          <w:color w:val="auto"/>
          <w:sz w:val="21"/>
          <w:szCs w:val="21"/>
        </w:rPr>
      </w:pPr>
      <w:r>
        <w:rPr>
          <w:rFonts w:hint="eastAsia"/>
          <w:color w:val="auto"/>
          <w:sz w:val="21"/>
          <w:szCs w:val="21"/>
        </w:rPr>
        <w:t>3.</w:t>
      </w:r>
      <w:r>
        <w:rPr>
          <w:rFonts w:hint="eastAsia"/>
          <w:color w:val="auto"/>
          <w:sz w:val="21"/>
          <w:szCs w:val="21"/>
          <w:lang w:val="en-US" w:eastAsia="zh-CN"/>
        </w:rPr>
        <w:t>4</w:t>
      </w:r>
      <w:r>
        <w:rPr>
          <w:rFonts w:hint="eastAsia"/>
          <w:color w:val="auto"/>
          <w:sz w:val="21"/>
          <w:szCs w:val="21"/>
        </w:rPr>
        <w:t xml:space="preserve"> 投标商应在投标文件中提供其安装调试过程中医院需配合的内容。 </w:t>
      </w:r>
    </w:p>
    <w:p>
      <w:pPr>
        <w:pStyle w:val="2"/>
        <w:keepNext w:val="0"/>
        <w:keepLines w:val="0"/>
        <w:pageBreakBefore w:val="0"/>
        <w:numPr>
          <w:ilvl w:val="0"/>
          <w:numId w:val="0"/>
        </w:numPr>
        <w:kinsoku/>
        <w:wordWrap/>
        <w:overflowPunct/>
        <w:topLinePunct w:val="0"/>
        <w:bidi w:val="0"/>
        <w:adjustRightInd/>
        <w:spacing w:line="360" w:lineRule="auto"/>
        <w:ind w:left="0" w:leftChars="0" w:firstLine="0" w:firstLineChars="0"/>
        <w:textAlignment w:val="auto"/>
        <w:rPr>
          <w:rFonts w:hint="eastAsia"/>
          <w:color w:val="auto"/>
          <w:sz w:val="21"/>
          <w:szCs w:val="21"/>
        </w:rPr>
      </w:pPr>
      <w:r>
        <w:rPr>
          <w:rFonts w:hint="eastAsia"/>
          <w:color w:val="auto"/>
          <w:sz w:val="21"/>
          <w:szCs w:val="21"/>
        </w:rPr>
        <w:t>3.</w:t>
      </w:r>
      <w:r>
        <w:rPr>
          <w:rFonts w:hint="eastAsia"/>
          <w:color w:val="auto"/>
          <w:sz w:val="21"/>
          <w:szCs w:val="21"/>
          <w:lang w:val="en-US" w:eastAsia="zh-CN"/>
        </w:rPr>
        <w:t>5</w:t>
      </w:r>
      <w:r>
        <w:rPr>
          <w:rFonts w:hint="eastAsia"/>
          <w:color w:val="auto"/>
          <w:sz w:val="21"/>
          <w:szCs w:val="21"/>
        </w:rPr>
        <w:t xml:space="preserve">在项目实施过程中，向医院提供齐全的电子版和书面的操作说明等文档。 </w:t>
      </w:r>
    </w:p>
    <w:p>
      <w:pPr>
        <w:pStyle w:val="2"/>
        <w:keepNext w:val="0"/>
        <w:keepLines w:val="0"/>
        <w:pageBreakBefore w:val="0"/>
        <w:numPr>
          <w:ilvl w:val="0"/>
          <w:numId w:val="0"/>
        </w:numPr>
        <w:kinsoku/>
        <w:wordWrap/>
        <w:overflowPunct/>
        <w:topLinePunct w:val="0"/>
        <w:bidi w:val="0"/>
        <w:adjustRightInd/>
        <w:spacing w:line="360" w:lineRule="auto"/>
        <w:ind w:left="0" w:leftChars="0" w:firstLine="0" w:firstLineChars="0"/>
        <w:textAlignment w:val="auto"/>
        <w:rPr>
          <w:rFonts w:hint="eastAsia" w:ascii="Calibri" w:hAnsi="Calibri" w:eastAsia="宋体" w:cs="Times New Roman"/>
          <w:color w:val="auto"/>
          <w:kern w:val="2"/>
          <w:sz w:val="21"/>
          <w:szCs w:val="21"/>
          <w:lang w:val="en-US" w:eastAsia="zh-CN" w:bidi="ar-SA"/>
        </w:rPr>
      </w:pPr>
      <w:r>
        <w:rPr>
          <w:rFonts w:hint="eastAsia" w:ascii="Calibri" w:hAnsi="Calibri" w:eastAsia="宋体" w:cs="Times New Roman"/>
          <w:color w:val="auto"/>
          <w:kern w:val="2"/>
          <w:sz w:val="21"/>
          <w:szCs w:val="21"/>
          <w:lang w:val="en-US" w:eastAsia="zh-CN" w:bidi="ar-SA"/>
        </w:rPr>
        <w:t>四、验收</w:t>
      </w:r>
    </w:p>
    <w:p>
      <w:pPr>
        <w:pStyle w:val="2"/>
        <w:keepNext w:val="0"/>
        <w:keepLines w:val="0"/>
        <w:pageBreakBefore w:val="0"/>
        <w:numPr>
          <w:ilvl w:val="0"/>
          <w:numId w:val="0"/>
        </w:numPr>
        <w:kinsoku/>
        <w:wordWrap/>
        <w:overflowPunct/>
        <w:topLinePunct w:val="0"/>
        <w:bidi w:val="0"/>
        <w:adjustRightInd/>
        <w:spacing w:line="360" w:lineRule="auto"/>
        <w:ind w:left="0" w:leftChars="0" w:firstLine="0" w:firstLineChars="0"/>
        <w:textAlignment w:val="auto"/>
        <w:rPr>
          <w:rFonts w:hint="eastAsia"/>
          <w:color w:val="auto"/>
          <w:sz w:val="21"/>
          <w:szCs w:val="21"/>
        </w:rPr>
      </w:pPr>
      <w:r>
        <w:rPr>
          <w:rFonts w:hint="eastAsia"/>
          <w:color w:val="auto"/>
          <w:sz w:val="21"/>
          <w:szCs w:val="21"/>
        </w:rPr>
        <w:t>4.1 投标商应提供项目相关软件、设备的有效验收文件，经用户认可后，作为验收标准。</w:t>
      </w:r>
    </w:p>
    <w:p>
      <w:pPr>
        <w:pStyle w:val="2"/>
        <w:keepNext w:val="0"/>
        <w:keepLines w:val="0"/>
        <w:pageBreakBefore w:val="0"/>
        <w:numPr>
          <w:ilvl w:val="0"/>
          <w:numId w:val="0"/>
        </w:numPr>
        <w:kinsoku/>
        <w:wordWrap/>
        <w:overflowPunct/>
        <w:topLinePunct w:val="0"/>
        <w:bidi w:val="0"/>
        <w:adjustRightInd/>
        <w:spacing w:line="360" w:lineRule="auto"/>
        <w:ind w:left="0" w:leftChars="0" w:firstLine="0" w:firstLineChars="0"/>
        <w:textAlignment w:val="auto"/>
        <w:rPr>
          <w:rFonts w:hint="eastAsia"/>
          <w:color w:val="auto"/>
          <w:sz w:val="21"/>
          <w:szCs w:val="21"/>
        </w:rPr>
      </w:pPr>
      <w:r>
        <w:rPr>
          <w:rFonts w:hint="eastAsia"/>
          <w:color w:val="auto"/>
          <w:sz w:val="21"/>
          <w:szCs w:val="21"/>
        </w:rPr>
        <w:t xml:space="preserve">用户对项目验收合格后，双方共同签署验收合格证书并加盖公章。验收中发现软件、设备达不到验收标准或合同规定的性能指标，卖方必须修改相应内容，以满足用户需求。 </w:t>
      </w:r>
    </w:p>
    <w:p>
      <w:pPr>
        <w:pStyle w:val="2"/>
        <w:keepNext w:val="0"/>
        <w:keepLines w:val="0"/>
        <w:pageBreakBefore w:val="0"/>
        <w:numPr>
          <w:ilvl w:val="0"/>
          <w:numId w:val="0"/>
        </w:numPr>
        <w:kinsoku/>
        <w:wordWrap/>
        <w:overflowPunct/>
        <w:topLinePunct w:val="0"/>
        <w:bidi w:val="0"/>
        <w:adjustRightInd/>
        <w:spacing w:line="360" w:lineRule="auto"/>
        <w:ind w:left="0" w:leftChars="0" w:firstLine="0" w:firstLineChars="0"/>
        <w:textAlignment w:val="auto"/>
        <w:rPr>
          <w:rFonts w:hint="eastAsia"/>
          <w:color w:val="auto"/>
          <w:sz w:val="21"/>
          <w:szCs w:val="21"/>
        </w:rPr>
      </w:pPr>
      <w:r>
        <w:rPr>
          <w:rFonts w:hint="eastAsia"/>
          <w:color w:val="auto"/>
          <w:sz w:val="21"/>
          <w:szCs w:val="21"/>
        </w:rPr>
        <w:t>4.</w:t>
      </w:r>
      <w:r>
        <w:rPr>
          <w:rFonts w:hint="eastAsia"/>
          <w:color w:val="auto"/>
          <w:sz w:val="21"/>
          <w:szCs w:val="21"/>
          <w:lang w:val="en-US" w:eastAsia="zh-CN"/>
        </w:rPr>
        <w:t>2</w:t>
      </w:r>
      <w:r>
        <w:rPr>
          <w:rFonts w:hint="eastAsia"/>
          <w:color w:val="auto"/>
          <w:sz w:val="21"/>
          <w:szCs w:val="21"/>
        </w:rPr>
        <w:t>验收费用由投标商负责，如项目验收</w:t>
      </w:r>
      <w:r>
        <w:rPr>
          <w:rFonts w:hint="eastAsia"/>
          <w:color w:val="auto"/>
          <w:sz w:val="21"/>
          <w:szCs w:val="21"/>
          <w:lang w:eastAsia="zh-CN"/>
        </w:rPr>
        <w:t>甲方</w:t>
      </w:r>
      <w:r>
        <w:rPr>
          <w:rFonts w:hint="eastAsia"/>
          <w:color w:val="auto"/>
          <w:sz w:val="21"/>
          <w:szCs w:val="21"/>
        </w:rPr>
        <w:t xml:space="preserve">需请第三方监理公司，则第三方监理公司的费用由医院自身承担。 </w:t>
      </w:r>
    </w:p>
    <w:p>
      <w:pPr>
        <w:pStyle w:val="2"/>
        <w:keepNext w:val="0"/>
        <w:keepLines w:val="0"/>
        <w:pageBreakBefore w:val="0"/>
        <w:numPr>
          <w:ilvl w:val="0"/>
          <w:numId w:val="0"/>
        </w:numPr>
        <w:kinsoku/>
        <w:wordWrap/>
        <w:overflowPunct/>
        <w:topLinePunct w:val="0"/>
        <w:bidi w:val="0"/>
        <w:adjustRightInd/>
        <w:spacing w:line="360" w:lineRule="auto"/>
        <w:ind w:left="0" w:leftChars="0" w:firstLine="0" w:firstLineChars="0"/>
        <w:textAlignment w:val="auto"/>
        <w:rPr>
          <w:rFonts w:hint="eastAsia"/>
          <w:color w:val="auto"/>
          <w:sz w:val="21"/>
          <w:szCs w:val="21"/>
        </w:rPr>
      </w:pPr>
      <w:r>
        <w:rPr>
          <w:rFonts w:hint="eastAsia"/>
          <w:color w:val="auto"/>
          <w:sz w:val="21"/>
          <w:szCs w:val="21"/>
        </w:rPr>
        <w:t xml:space="preserve">4 </w:t>
      </w:r>
      <w:r>
        <w:rPr>
          <w:rFonts w:hint="eastAsia"/>
          <w:color w:val="auto"/>
          <w:sz w:val="21"/>
          <w:szCs w:val="21"/>
          <w:lang w:val="en-US" w:eastAsia="zh-CN"/>
        </w:rPr>
        <w:t>.3</w:t>
      </w:r>
      <w:r>
        <w:rPr>
          <w:rFonts w:hint="eastAsia"/>
          <w:color w:val="auto"/>
          <w:sz w:val="21"/>
          <w:szCs w:val="21"/>
        </w:rPr>
        <w:t>因本项目用户实际新增或系统升级引起的软件功能与现有采购建设内容要求有所出入的，不作为不符合或不满足招标人要求的条件，应视为项目合格。</w:t>
      </w:r>
    </w:p>
    <w:p>
      <w:pPr>
        <w:keepNext w:val="0"/>
        <w:keepLines w:val="0"/>
        <w:pageBreakBefore w:val="0"/>
        <w:numPr>
          <w:ilvl w:val="0"/>
          <w:numId w:val="0"/>
        </w:numPr>
        <w:kinsoku/>
        <w:wordWrap/>
        <w:overflowPunct/>
        <w:topLinePunct w:val="0"/>
        <w:bidi w:val="0"/>
        <w:adjustRightInd/>
        <w:snapToGrid w:val="0"/>
        <w:spacing w:line="360" w:lineRule="auto"/>
        <w:ind w:left="0" w:leftChars="0" w:firstLine="0" w:firstLineChars="0"/>
        <w:textAlignment w:val="auto"/>
        <w:rPr>
          <w:rFonts w:hint="eastAsia"/>
          <w:color w:val="auto"/>
          <w:sz w:val="21"/>
          <w:szCs w:val="21"/>
        </w:rPr>
      </w:pPr>
      <w:r>
        <w:rPr>
          <w:rFonts w:hint="eastAsia"/>
          <w:color w:val="auto"/>
          <w:sz w:val="21"/>
          <w:szCs w:val="21"/>
          <w:lang w:eastAsia="zh-CN"/>
        </w:rPr>
        <w:t>五、</w:t>
      </w:r>
      <w:r>
        <w:rPr>
          <w:rFonts w:hint="eastAsia"/>
          <w:color w:val="auto"/>
          <w:sz w:val="21"/>
          <w:szCs w:val="21"/>
        </w:rPr>
        <w:t>结算与支付</w:t>
      </w:r>
    </w:p>
    <w:p>
      <w:pPr>
        <w:pStyle w:val="2"/>
        <w:keepNext w:val="0"/>
        <w:keepLines w:val="0"/>
        <w:pageBreakBefore w:val="0"/>
        <w:numPr>
          <w:ilvl w:val="0"/>
          <w:numId w:val="0"/>
        </w:numPr>
        <w:kinsoku/>
        <w:wordWrap/>
        <w:overflowPunct/>
        <w:topLinePunct w:val="0"/>
        <w:bidi w:val="0"/>
        <w:adjustRightInd/>
        <w:spacing w:line="360" w:lineRule="auto"/>
        <w:ind w:left="0" w:leftChars="0" w:firstLine="0" w:firstLineChars="0"/>
        <w:textAlignment w:val="auto"/>
        <w:rPr>
          <w:rFonts w:hint="eastAsia"/>
          <w:color w:val="auto"/>
          <w:sz w:val="21"/>
          <w:szCs w:val="21"/>
          <w:lang w:eastAsia="zh-CN"/>
        </w:rPr>
      </w:pPr>
      <w:r>
        <w:rPr>
          <w:rFonts w:hint="eastAsia"/>
          <w:color w:val="auto"/>
          <w:sz w:val="21"/>
          <w:szCs w:val="21"/>
          <w:lang w:eastAsia="zh-CN"/>
        </w:rPr>
        <w:t>结算：无预付款，根据项目开展进入分期付款。</w:t>
      </w:r>
    </w:p>
    <w:p>
      <w:pPr>
        <w:pStyle w:val="2"/>
        <w:keepNext w:val="0"/>
        <w:keepLines w:val="0"/>
        <w:pageBreakBefore w:val="0"/>
        <w:numPr>
          <w:ilvl w:val="0"/>
          <w:numId w:val="0"/>
        </w:numPr>
        <w:kinsoku/>
        <w:wordWrap/>
        <w:overflowPunct/>
        <w:topLinePunct w:val="0"/>
        <w:bidi w:val="0"/>
        <w:adjustRightInd/>
        <w:spacing w:line="360" w:lineRule="auto"/>
        <w:ind w:left="0" w:leftChars="0" w:firstLine="0" w:firstLineChars="0"/>
        <w:textAlignment w:val="auto"/>
        <w:rPr>
          <w:rFonts w:hint="eastAsia"/>
          <w:color w:val="auto"/>
          <w:sz w:val="21"/>
          <w:szCs w:val="21"/>
          <w:lang w:eastAsia="zh-CN"/>
        </w:rPr>
      </w:pPr>
      <w:r>
        <w:rPr>
          <w:rFonts w:hint="eastAsia"/>
          <w:color w:val="auto"/>
          <w:sz w:val="21"/>
          <w:szCs w:val="21"/>
          <w:lang w:eastAsia="zh-CN"/>
        </w:rPr>
        <w:t>支付：签订合同收到发票后1个月内支付合同总额的30%，项目正式上线后1个月内支付合同总额的30%，项目验收后1个月内支付合同总额的30%。质保期满无遗留问题后1个月内支付合同总额的10%。</w:t>
      </w:r>
    </w:p>
    <w:p>
      <w:pPr>
        <w:keepNext w:val="0"/>
        <w:keepLines w:val="0"/>
        <w:pageBreakBefore w:val="0"/>
        <w:kinsoku/>
        <w:wordWrap/>
        <w:overflowPunct/>
        <w:topLinePunct w:val="0"/>
        <w:bidi w:val="0"/>
        <w:adjustRightInd/>
        <w:snapToGrid w:val="0"/>
        <w:spacing w:line="360" w:lineRule="auto"/>
        <w:ind w:left="0" w:leftChars="0" w:firstLine="0" w:firstLineChars="0"/>
        <w:textAlignment w:val="auto"/>
        <w:rPr>
          <w:color w:val="auto"/>
          <w:sz w:val="21"/>
          <w:szCs w:val="21"/>
        </w:rPr>
      </w:pPr>
      <w:r>
        <w:rPr>
          <w:rFonts w:hint="eastAsia"/>
          <w:color w:val="auto"/>
          <w:sz w:val="21"/>
          <w:szCs w:val="21"/>
          <w:lang w:eastAsia="zh-CN"/>
        </w:rPr>
        <w:t>六、</w:t>
      </w:r>
      <w:r>
        <w:rPr>
          <w:rFonts w:hint="eastAsia"/>
          <w:color w:val="auto"/>
          <w:sz w:val="21"/>
          <w:szCs w:val="21"/>
        </w:rPr>
        <w:t>履约保证金</w:t>
      </w:r>
    </w:p>
    <w:p>
      <w:pPr>
        <w:keepNext w:val="0"/>
        <w:keepLines w:val="0"/>
        <w:pageBreakBefore w:val="0"/>
        <w:kinsoku/>
        <w:wordWrap/>
        <w:overflowPunct/>
        <w:topLinePunct w:val="0"/>
        <w:bidi w:val="0"/>
        <w:adjustRightInd/>
        <w:snapToGrid w:val="0"/>
        <w:spacing w:line="360" w:lineRule="auto"/>
        <w:ind w:left="0" w:leftChars="0" w:firstLine="0" w:firstLineChars="0"/>
        <w:textAlignment w:val="auto"/>
        <w:rPr>
          <w:rFonts w:hint="eastAsia"/>
          <w:color w:val="auto"/>
          <w:sz w:val="21"/>
          <w:szCs w:val="21"/>
        </w:rPr>
      </w:pPr>
      <w:r>
        <w:rPr>
          <w:rFonts w:hint="eastAsia"/>
          <w:color w:val="auto"/>
          <w:sz w:val="21"/>
          <w:szCs w:val="21"/>
          <w:lang w:eastAsia="zh-CN"/>
        </w:rPr>
        <w:t>预先扣留合同总额的</w:t>
      </w:r>
      <w:r>
        <w:rPr>
          <w:rFonts w:hint="eastAsia"/>
          <w:color w:val="auto"/>
          <w:sz w:val="21"/>
          <w:szCs w:val="21"/>
          <w:lang w:val="en-US" w:eastAsia="zh-CN"/>
        </w:rPr>
        <w:t>10%作为项目履约保证金，质保期内</w:t>
      </w:r>
      <w:r>
        <w:rPr>
          <w:rFonts w:hint="eastAsia"/>
          <w:color w:val="auto"/>
          <w:sz w:val="21"/>
          <w:szCs w:val="21"/>
        </w:rPr>
        <w:t>出现质量问题给</w:t>
      </w:r>
      <w:r>
        <w:rPr>
          <w:rFonts w:hint="eastAsia"/>
          <w:color w:val="auto"/>
          <w:sz w:val="21"/>
          <w:szCs w:val="21"/>
          <w:lang w:eastAsia="zh-CN"/>
        </w:rPr>
        <w:t>招标人</w:t>
      </w:r>
      <w:r>
        <w:rPr>
          <w:rFonts w:hint="eastAsia"/>
          <w:color w:val="auto"/>
          <w:sz w:val="21"/>
          <w:szCs w:val="21"/>
        </w:rPr>
        <w:t>造成经济损失，</w:t>
      </w:r>
      <w:r>
        <w:rPr>
          <w:rFonts w:hint="eastAsia"/>
          <w:color w:val="auto"/>
          <w:sz w:val="21"/>
          <w:szCs w:val="21"/>
          <w:lang w:eastAsia="zh-CN"/>
        </w:rPr>
        <w:t>招标人</w:t>
      </w:r>
      <w:r>
        <w:rPr>
          <w:rFonts w:hint="eastAsia"/>
          <w:color w:val="auto"/>
          <w:sz w:val="21"/>
          <w:szCs w:val="21"/>
        </w:rPr>
        <w:t>有权先从履约保证金中取得补偿；履约保证金不足时，</w:t>
      </w:r>
      <w:r>
        <w:rPr>
          <w:rFonts w:hint="eastAsia"/>
          <w:color w:val="auto"/>
          <w:sz w:val="21"/>
          <w:szCs w:val="21"/>
          <w:lang w:eastAsia="zh-CN"/>
        </w:rPr>
        <w:t>甲方有权向乙方追偿</w:t>
      </w:r>
      <w:r>
        <w:rPr>
          <w:rFonts w:hint="eastAsia"/>
          <w:color w:val="auto"/>
          <w:sz w:val="21"/>
          <w:szCs w:val="21"/>
        </w:rPr>
        <w:t>；</w:t>
      </w:r>
      <w:r>
        <w:rPr>
          <w:rFonts w:hint="eastAsia"/>
          <w:color w:val="auto"/>
          <w:sz w:val="21"/>
          <w:szCs w:val="21"/>
          <w:lang w:eastAsia="zh-CN"/>
        </w:rPr>
        <w:t>质保期</w:t>
      </w:r>
      <w:r>
        <w:rPr>
          <w:rFonts w:hint="eastAsia"/>
          <w:color w:val="auto"/>
          <w:sz w:val="21"/>
          <w:szCs w:val="21"/>
        </w:rPr>
        <w:t>满经履约评价，扣除违约赔偿后一个月内无息退还。</w:t>
      </w:r>
    </w:p>
    <w:p>
      <w:pPr>
        <w:pStyle w:val="2"/>
        <w:keepNext w:val="0"/>
        <w:keepLines w:val="0"/>
        <w:pageBreakBefore w:val="0"/>
        <w:numPr>
          <w:ilvl w:val="0"/>
          <w:numId w:val="0"/>
        </w:numPr>
        <w:kinsoku/>
        <w:wordWrap/>
        <w:overflowPunct/>
        <w:topLinePunct w:val="0"/>
        <w:bidi w:val="0"/>
        <w:adjustRightInd/>
        <w:spacing w:line="360" w:lineRule="auto"/>
        <w:ind w:left="0" w:leftChars="0" w:firstLine="0" w:firstLineChars="0"/>
        <w:textAlignment w:val="auto"/>
        <w:rPr>
          <w:rFonts w:hint="eastAsia"/>
          <w:color w:val="auto"/>
          <w:sz w:val="21"/>
          <w:szCs w:val="21"/>
          <w:lang w:eastAsia="zh-CN"/>
        </w:rPr>
      </w:pPr>
      <w:r>
        <w:rPr>
          <w:rFonts w:hint="eastAsia"/>
          <w:color w:val="auto"/>
          <w:sz w:val="21"/>
          <w:szCs w:val="21"/>
          <w:lang w:eastAsia="zh-CN"/>
        </w:rPr>
        <w:t>七、质保期</w:t>
      </w:r>
    </w:p>
    <w:p>
      <w:pPr>
        <w:pStyle w:val="2"/>
        <w:keepNext w:val="0"/>
        <w:keepLines w:val="0"/>
        <w:pageBreakBefore w:val="0"/>
        <w:numPr>
          <w:ilvl w:val="0"/>
          <w:numId w:val="0"/>
        </w:numPr>
        <w:kinsoku/>
        <w:wordWrap/>
        <w:overflowPunct/>
        <w:topLinePunct w:val="0"/>
        <w:bidi w:val="0"/>
        <w:adjustRightInd/>
        <w:spacing w:line="360" w:lineRule="auto"/>
        <w:ind w:left="0" w:leftChars="0" w:firstLine="0" w:firstLineChars="0"/>
        <w:textAlignment w:val="auto"/>
        <w:rPr>
          <w:color w:val="auto"/>
          <w:sz w:val="21"/>
          <w:szCs w:val="21"/>
        </w:rPr>
      </w:pPr>
      <w:r>
        <w:rPr>
          <w:rFonts w:hint="eastAsia"/>
          <w:color w:val="auto"/>
          <w:sz w:val="21"/>
          <w:szCs w:val="21"/>
        </w:rPr>
        <w:t>本项目需提供3年的质保服务，质保期从系统整体验收通过之日起计算；</w:t>
      </w:r>
      <w:r>
        <w:rPr>
          <w:rFonts w:hint="eastAsia"/>
          <w:color w:val="auto"/>
          <w:sz w:val="21"/>
          <w:szCs w:val="21"/>
          <w:highlight w:val="yellow"/>
        </w:rPr>
        <w:t>在质保期内维护服务包括但不限于</w:t>
      </w:r>
      <w:r>
        <w:rPr>
          <w:rFonts w:hint="eastAsia"/>
          <w:color w:val="auto"/>
          <w:sz w:val="21"/>
          <w:szCs w:val="21"/>
          <w:highlight w:val="yellow"/>
          <w:lang w:eastAsia="zh-CN"/>
        </w:rPr>
        <w:t>现有系统</w:t>
      </w:r>
      <w:r>
        <w:rPr>
          <w:rFonts w:hint="eastAsia"/>
          <w:color w:val="auto"/>
          <w:sz w:val="21"/>
          <w:szCs w:val="21"/>
          <w:highlight w:val="yellow"/>
        </w:rPr>
        <w:t>免费上门维护、培训服务</w:t>
      </w:r>
      <w:r>
        <w:rPr>
          <w:rFonts w:hint="eastAsia"/>
          <w:color w:val="auto"/>
          <w:sz w:val="21"/>
          <w:szCs w:val="21"/>
          <w:highlight w:val="yellow"/>
          <w:lang w:eastAsia="zh-CN"/>
        </w:rPr>
        <w:t>、</w:t>
      </w:r>
      <w:r>
        <w:rPr>
          <w:rFonts w:hint="eastAsia"/>
          <w:color w:val="auto"/>
          <w:sz w:val="21"/>
          <w:szCs w:val="21"/>
          <w:highlight w:val="yellow"/>
        </w:rPr>
        <w:t>系统升级</w:t>
      </w:r>
      <w:r>
        <w:rPr>
          <w:rFonts w:hint="eastAsia"/>
          <w:color w:val="auto"/>
          <w:sz w:val="21"/>
          <w:szCs w:val="21"/>
          <w:highlight w:val="yellow"/>
          <w:lang w:eastAsia="zh-CN"/>
        </w:rPr>
        <w:t>和后期政策变更与医院管理要求对系统进行的增删含后期所有接口费用（现有的</w:t>
      </w:r>
      <w:r>
        <w:rPr>
          <w:rFonts w:hint="eastAsia"/>
          <w:color w:val="auto"/>
          <w:sz w:val="21"/>
          <w:szCs w:val="21"/>
          <w:highlight w:val="yellow"/>
          <w:lang w:val="en-US" w:eastAsia="zh-CN"/>
        </w:rPr>
        <w:t>PACS、HIS系统接口除外</w:t>
      </w:r>
      <w:r>
        <w:rPr>
          <w:rFonts w:hint="eastAsia"/>
          <w:color w:val="auto"/>
          <w:sz w:val="21"/>
          <w:szCs w:val="21"/>
          <w:highlight w:val="yellow"/>
          <w:lang w:eastAsia="zh-CN"/>
        </w:rPr>
        <w:t>）</w:t>
      </w:r>
      <w:r>
        <w:rPr>
          <w:rFonts w:hint="eastAsia"/>
          <w:color w:val="auto"/>
          <w:sz w:val="21"/>
          <w:szCs w:val="21"/>
          <w:highlight w:val="yellow"/>
        </w:rPr>
        <w:t>。</w:t>
      </w:r>
      <w:r>
        <w:rPr>
          <w:rFonts w:hint="eastAsia"/>
          <w:color w:val="auto"/>
          <w:sz w:val="21"/>
          <w:szCs w:val="21"/>
        </w:rPr>
        <w:t>质量保证期过后，承建商继续为采购人提供有偿维护服务，每年维护费用</w:t>
      </w:r>
      <w:r>
        <w:rPr>
          <w:rFonts w:hint="eastAsia"/>
          <w:color w:val="auto"/>
          <w:sz w:val="21"/>
          <w:szCs w:val="21"/>
          <w:lang w:eastAsia="zh-CN"/>
        </w:rPr>
        <w:t>执行投标人承诺为合同年度价款的百分之几</w:t>
      </w:r>
      <w:r>
        <w:rPr>
          <w:rFonts w:hint="eastAsia"/>
          <w:color w:val="auto"/>
          <w:sz w:val="21"/>
          <w:szCs w:val="21"/>
        </w:rPr>
        <w:t>，</w:t>
      </w:r>
      <w:r>
        <w:rPr>
          <w:rFonts w:hint="eastAsia"/>
          <w:color w:val="auto"/>
          <w:sz w:val="21"/>
          <w:szCs w:val="21"/>
          <w:highlight w:val="yellow"/>
        </w:rPr>
        <w:t>服务标准同质保期内维护服务。</w:t>
      </w:r>
    </w:p>
    <w:p>
      <w:pPr>
        <w:keepNext w:val="0"/>
        <w:keepLines w:val="0"/>
        <w:pageBreakBefore w:val="0"/>
        <w:kinsoku/>
        <w:wordWrap/>
        <w:overflowPunct/>
        <w:topLinePunct w:val="0"/>
        <w:bidi w:val="0"/>
        <w:adjustRightInd/>
        <w:spacing w:line="360" w:lineRule="auto"/>
        <w:ind w:left="0" w:leftChars="0" w:firstLine="0" w:firstLineChars="0"/>
        <w:textAlignment w:val="auto"/>
        <w:rPr>
          <w:color w:val="auto"/>
          <w:sz w:val="21"/>
          <w:szCs w:val="21"/>
        </w:rPr>
      </w:pPr>
      <w:r>
        <w:rPr>
          <w:rFonts w:hint="eastAsia"/>
          <w:color w:val="auto"/>
          <w:sz w:val="21"/>
          <w:szCs w:val="21"/>
          <w:lang w:eastAsia="zh-CN"/>
        </w:rPr>
        <w:t>八</w:t>
      </w:r>
      <w:r>
        <w:rPr>
          <w:rFonts w:hint="eastAsia"/>
          <w:color w:val="auto"/>
          <w:sz w:val="21"/>
          <w:szCs w:val="21"/>
        </w:rPr>
        <w:t>、权利和义务</w:t>
      </w:r>
    </w:p>
    <w:p>
      <w:pPr>
        <w:keepNext w:val="0"/>
        <w:keepLines w:val="0"/>
        <w:pageBreakBefore w:val="0"/>
        <w:kinsoku/>
        <w:wordWrap/>
        <w:overflowPunct/>
        <w:topLinePunct w:val="0"/>
        <w:bidi w:val="0"/>
        <w:adjustRightInd/>
        <w:snapToGrid w:val="0"/>
        <w:spacing w:line="360" w:lineRule="auto"/>
        <w:ind w:left="0" w:leftChars="0" w:firstLine="0" w:firstLineChars="0"/>
        <w:textAlignment w:val="auto"/>
        <w:rPr>
          <w:rFonts w:hint="eastAsia"/>
          <w:color w:val="auto"/>
          <w:sz w:val="21"/>
          <w:szCs w:val="21"/>
        </w:rPr>
      </w:pPr>
      <w:r>
        <w:rPr>
          <w:rFonts w:hint="eastAsia"/>
          <w:color w:val="auto"/>
          <w:sz w:val="21"/>
          <w:szCs w:val="21"/>
        </w:rPr>
        <w:t>1、乙方权利义务</w:t>
      </w:r>
    </w:p>
    <w:p>
      <w:pPr>
        <w:pStyle w:val="2"/>
        <w:keepNext w:val="0"/>
        <w:keepLines w:val="0"/>
        <w:pageBreakBefore w:val="0"/>
        <w:kinsoku/>
        <w:wordWrap/>
        <w:overflowPunct/>
        <w:topLinePunct w:val="0"/>
        <w:bidi w:val="0"/>
        <w:adjustRightInd/>
        <w:spacing w:line="360" w:lineRule="auto"/>
        <w:ind w:left="0" w:leftChars="0" w:firstLine="0" w:firstLineChars="0"/>
        <w:textAlignment w:val="auto"/>
        <w:rPr>
          <w:rFonts w:hint="eastAsia"/>
          <w:color w:val="auto"/>
          <w:sz w:val="21"/>
          <w:szCs w:val="21"/>
          <w:lang w:val="en-US" w:eastAsia="zh-CN"/>
        </w:rPr>
      </w:pPr>
      <w:r>
        <w:rPr>
          <w:rFonts w:hint="eastAsia"/>
          <w:color w:val="auto"/>
          <w:sz w:val="21"/>
          <w:szCs w:val="21"/>
          <w:lang w:val="en-US" w:eastAsia="zh-CN"/>
        </w:rPr>
        <w:t>1.1在软件维保期内，承建商应提供灵活、多样的通信手段（包括但不限于场地、设备及人员、专用服务电话），提供7*24小时的响应服务，保证在任何时候招标方人员都能及时找到承建商的服务人员。</w:t>
      </w:r>
    </w:p>
    <w:p>
      <w:pPr>
        <w:pStyle w:val="2"/>
        <w:keepNext w:val="0"/>
        <w:keepLines w:val="0"/>
        <w:pageBreakBefore w:val="0"/>
        <w:kinsoku/>
        <w:wordWrap/>
        <w:overflowPunct/>
        <w:topLinePunct w:val="0"/>
        <w:bidi w:val="0"/>
        <w:adjustRightInd/>
        <w:spacing w:line="360" w:lineRule="auto"/>
        <w:ind w:left="0" w:leftChars="0" w:firstLine="0" w:firstLineChars="0"/>
        <w:textAlignment w:val="auto"/>
        <w:rPr>
          <w:rFonts w:hint="eastAsia"/>
          <w:color w:val="auto"/>
          <w:sz w:val="21"/>
          <w:szCs w:val="21"/>
          <w:lang w:val="en-US" w:eastAsia="zh-CN"/>
        </w:rPr>
      </w:pPr>
      <w:r>
        <w:rPr>
          <w:rFonts w:hint="eastAsia"/>
          <w:color w:val="auto"/>
          <w:sz w:val="21"/>
          <w:szCs w:val="21"/>
          <w:lang w:val="en-US" w:eastAsia="zh-CN"/>
        </w:rPr>
        <w:t>1.2乙方所供软件出现问题时，其响应时间不超过2小时，一般故障处理时间不大于4小时；特殊情况下，故障修复时间不大于24小时。</w:t>
      </w:r>
    </w:p>
    <w:p>
      <w:pPr>
        <w:pStyle w:val="2"/>
        <w:keepNext w:val="0"/>
        <w:keepLines w:val="0"/>
        <w:pageBreakBefore w:val="0"/>
        <w:kinsoku/>
        <w:wordWrap/>
        <w:overflowPunct/>
        <w:topLinePunct w:val="0"/>
        <w:bidi w:val="0"/>
        <w:adjustRightInd/>
        <w:spacing w:line="360" w:lineRule="auto"/>
        <w:ind w:left="0" w:leftChars="0" w:firstLine="0" w:firstLineChars="0"/>
        <w:textAlignment w:val="auto"/>
        <w:rPr>
          <w:rFonts w:hint="eastAsia"/>
          <w:color w:val="auto"/>
          <w:sz w:val="21"/>
          <w:szCs w:val="21"/>
          <w:lang w:val="en-US" w:eastAsia="zh-CN"/>
        </w:rPr>
      </w:pPr>
      <w:r>
        <w:rPr>
          <w:rFonts w:hint="eastAsia"/>
          <w:color w:val="auto"/>
          <w:sz w:val="21"/>
          <w:szCs w:val="21"/>
          <w:lang w:val="en-US" w:eastAsia="zh-CN"/>
        </w:rPr>
        <w:t>1.3 投标人所承诺的服务内容应包括：投标人的服务响应及维修等承诺，详细说明服务能力、服务时间、人员配备、系统故障响应、诊断、应急处理、维修和相应的设备更换计划等；投标人的技术支持和相应软件的升级承诺等。</w:t>
      </w:r>
    </w:p>
    <w:p>
      <w:pPr>
        <w:pStyle w:val="2"/>
        <w:keepNext w:val="0"/>
        <w:keepLines w:val="0"/>
        <w:pageBreakBefore w:val="0"/>
        <w:kinsoku/>
        <w:wordWrap/>
        <w:overflowPunct/>
        <w:topLinePunct w:val="0"/>
        <w:bidi w:val="0"/>
        <w:adjustRightInd/>
        <w:spacing w:line="360" w:lineRule="auto"/>
        <w:ind w:left="0" w:leftChars="0" w:firstLine="0" w:firstLineChars="0"/>
        <w:textAlignment w:val="auto"/>
        <w:rPr>
          <w:rFonts w:hint="eastAsia"/>
          <w:color w:val="auto"/>
          <w:sz w:val="21"/>
          <w:szCs w:val="21"/>
          <w:lang w:val="en-US" w:eastAsia="zh-CN"/>
        </w:rPr>
      </w:pPr>
      <w:r>
        <w:rPr>
          <w:rFonts w:hint="eastAsia"/>
          <w:color w:val="auto"/>
          <w:sz w:val="21"/>
          <w:szCs w:val="21"/>
          <w:lang w:val="en-US" w:eastAsia="zh-CN"/>
        </w:rPr>
        <w:t xml:space="preserve">1.4热线电话服务提供技术咨询、故障诊断、故障排除、以及现场支持等具 体的技术支持工作，并对客户投诉做出相应处理。 </w:t>
      </w:r>
    </w:p>
    <w:p>
      <w:pPr>
        <w:pStyle w:val="2"/>
        <w:keepNext w:val="0"/>
        <w:keepLines w:val="0"/>
        <w:pageBreakBefore w:val="0"/>
        <w:kinsoku/>
        <w:wordWrap/>
        <w:overflowPunct/>
        <w:topLinePunct w:val="0"/>
        <w:bidi w:val="0"/>
        <w:adjustRightInd/>
        <w:spacing w:line="360" w:lineRule="auto"/>
        <w:ind w:left="0" w:leftChars="0" w:firstLine="0" w:firstLineChars="0"/>
        <w:textAlignment w:val="auto"/>
        <w:rPr>
          <w:rFonts w:hint="eastAsia"/>
          <w:color w:val="auto"/>
          <w:sz w:val="21"/>
          <w:szCs w:val="21"/>
          <w:lang w:val="en-US" w:eastAsia="zh-CN"/>
        </w:rPr>
      </w:pPr>
      <w:r>
        <w:rPr>
          <w:rFonts w:hint="eastAsia"/>
          <w:color w:val="auto"/>
          <w:sz w:val="21"/>
          <w:szCs w:val="21"/>
          <w:lang w:val="en-US" w:eastAsia="zh-CN"/>
        </w:rPr>
        <w:t>1.5定期巡检与调优系统，复杂的运行环境等种种原因会造成系统性能的逐渐下降。通过定期的技术检查，可及时排除故障隐患，以免问题发生后影响业务 运作，还能及时调优系统性能，使系统始终处于高效率运行状态。</w:t>
      </w:r>
    </w:p>
    <w:p>
      <w:pPr>
        <w:pStyle w:val="2"/>
        <w:keepNext w:val="0"/>
        <w:keepLines w:val="0"/>
        <w:pageBreakBefore w:val="0"/>
        <w:kinsoku/>
        <w:wordWrap/>
        <w:overflowPunct/>
        <w:topLinePunct w:val="0"/>
        <w:bidi w:val="0"/>
        <w:adjustRightInd/>
        <w:spacing w:line="360" w:lineRule="auto"/>
        <w:ind w:left="0" w:leftChars="0" w:firstLine="0" w:firstLineChars="0"/>
        <w:textAlignment w:val="auto"/>
        <w:rPr>
          <w:rFonts w:hint="default"/>
          <w:color w:val="auto"/>
          <w:sz w:val="21"/>
          <w:szCs w:val="21"/>
          <w:lang w:val="en-US" w:eastAsia="zh-CN"/>
        </w:rPr>
      </w:pPr>
      <w:r>
        <w:rPr>
          <w:rFonts w:hint="eastAsia"/>
          <w:color w:val="auto"/>
          <w:sz w:val="21"/>
          <w:szCs w:val="21"/>
          <w:lang w:val="en-US" w:eastAsia="zh-CN"/>
        </w:rPr>
        <w:t>1.6</w:t>
      </w:r>
      <w:r>
        <w:rPr>
          <w:rFonts w:hint="default"/>
          <w:color w:val="auto"/>
          <w:sz w:val="21"/>
          <w:szCs w:val="21"/>
          <w:lang w:val="en-US" w:eastAsia="zh-CN"/>
        </w:rPr>
        <w:t xml:space="preserve"> 投标人应制定详细的培训计划，对使用人员进行操作及相关技术 培训。投标人负责用户的现场技术培训，包括产品的功能、部署条件、部署步骤 和注意事项、产品升级、日常维护事项等方面，使用户达到能独立进行管理、维护测试和故障处理等工作，以使所提供的软件产品能够正常、安全的运行。 </w:t>
      </w:r>
    </w:p>
    <w:p>
      <w:pPr>
        <w:keepNext w:val="0"/>
        <w:keepLines w:val="0"/>
        <w:pageBreakBefore w:val="0"/>
        <w:kinsoku/>
        <w:wordWrap/>
        <w:overflowPunct/>
        <w:topLinePunct w:val="0"/>
        <w:bidi w:val="0"/>
        <w:adjustRightInd/>
        <w:snapToGrid w:val="0"/>
        <w:spacing w:line="360" w:lineRule="auto"/>
        <w:ind w:left="0" w:leftChars="0" w:firstLine="0" w:firstLineChars="0"/>
        <w:textAlignment w:val="auto"/>
        <w:rPr>
          <w:color w:val="auto"/>
          <w:sz w:val="21"/>
          <w:szCs w:val="21"/>
        </w:rPr>
      </w:pPr>
      <w:r>
        <w:rPr>
          <w:rFonts w:hint="eastAsia"/>
          <w:color w:val="auto"/>
          <w:sz w:val="21"/>
          <w:szCs w:val="21"/>
        </w:rPr>
        <w:t>2、甲方的权利和义务</w:t>
      </w:r>
    </w:p>
    <w:p>
      <w:pPr>
        <w:keepNext w:val="0"/>
        <w:keepLines w:val="0"/>
        <w:pageBreakBefore w:val="0"/>
        <w:kinsoku/>
        <w:wordWrap/>
        <w:overflowPunct/>
        <w:topLinePunct w:val="0"/>
        <w:bidi w:val="0"/>
        <w:adjustRightInd/>
        <w:snapToGrid w:val="0"/>
        <w:spacing w:line="360" w:lineRule="auto"/>
        <w:ind w:left="0" w:leftChars="0" w:firstLine="0" w:firstLineChars="0"/>
        <w:textAlignment w:val="auto"/>
        <w:rPr>
          <w:color w:val="auto"/>
          <w:sz w:val="21"/>
          <w:szCs w:val="21"/>
        </w:rPr>
      </w:pPr>
      <w:r>
        <w:rPr>
          <w:rFonts w:hint="eastAsia"/>
          <w:color w:val="auto"/>
          <w:sz w:val="21"/>
          <w:szCs w:val="21"/>
        </w:rPr>
        <w:t>2.</w:t>
      </w:r>
      <w:r>
        <w:rPr>
          <w:rFonts w:hint="eastAsia"/>
          <w:color w:val="auto"/>
          <w:sz w:val="21"/>
          <w:szCs w:val="21"/>
          <w:lang w:val="en-US" w:eastAsia="zh-CN"/>
        </w:rPr>
        <w:t>1</w:t>
      </w:r>
      <w:r>
        <w:rPr>
          <w:rFonts w:hint="eastAsia"/>
          <w:color w:val="auto"/>
          <w:sz w:val="21"/>
          <w:szCs w:val="21"/>
        </w:rPr>
        <w:t>及时按照合同支付乙方款项。</w:t>
      </w:r>
    </w:p>
    <w:p>
      <w:pPr>
        <w:keepNext w:val="0"/>
        <w:keepLines w:val="0"/>
        <w:pageBreakBefore w:val="0"/>
        <w:kinsoku/>
        <w:wordWrap/>
        <w:overflowPunct/>
        <w:topLinePunct w:val="0"/>
        <w:bidi w:val="0"/>
        <w:adjustRightInd/>
        <w:snapToGrid w:val="0"/>
        <w:spacing w:line="360" w:lineRule="auto"/>
        <w:ind w:left="0" w:leftChars="0" w:firstLine="0" w:firstLineChars="0"/>
        <w:textAlignment w:val="auto"/>
        <w:rPr>
          <w:color w:val="auto"/>
          <w:sz w:val="21"/>
          <w:szCs w:val="21"/>
        </w:rPr>
      </w:pPr>
      <w:r>
        <w:rPr>
          <w:rFonts w:hint="eastAsia"/>
          <w:color w:val="auto"/>
          <w:sz w:val="21"/>
          <w:szCs w:val="21"/>
        </w:rPr>
        <w:t>2.</w:t>
      </w:r>
      <w:r>
        <w:rPr>
          <w:rFonts w:hint="eastAsia"/>
          <w:color w:val="auto"/>
          <w:sz w:val="21"/>
          <w:szCs w:val="21"/>
          <w:lang w:val="en-US" w:eastAsia="zh-CN"/>
        </w:rPr>
        <w:t>2</w:t>
      </w:r>
      <w:r>
        <w:rPr>
          <w:rFonts w:hint="eastAsia"/>
          <w:color w:val="auto"/>
          <w:sz w:val="21"/>
          <w:szCs w:val="21"/>
        </w:rPr>
        <w:t>为乙方</w:t>
      </w:r>
      <w:r>
        <w:rPr>
          <w:rFonts w:hint="eastAsia"/>
          <w:color w:val="auto"/>
          <w:sz w:val="21"/>
          <w:szCs w:val="21"/>
          <w:lang w:eastAsia="zh-CN"/>
        </w:rPr>
        <w:t>工作开展提供必要条件</w:t>
      </w:r>
      <w:r>
        <w:rPr>
          <w:rFonts w:hint="eastAsia"/>
          <w:color w:val="auto"/>
          <w:sz w:val="21"/>
          <w:szCs w:val="21"/>
        </w:rPr>
        <w:t>。</w:t>
      </w:r>
    </w:p>
    <w:p>
      <w:pPr>
        <w:pStyle w:val="105"/>
        <w:keepNext w:val="0"/>
        <w:keepLines w:val="0"/>
        <w:pageBreakBefore w:val="0"/>
        <w:numPr>
          <w:ilvl w:val="0"/>
          <w:numId w:val="0"/>
        </w:numPr>
        <w:kinsoku/>
        <w:wordWrap/>
        <w:overflowPunct/>
        <w:topLinePunct w:val="0"/>
        <w:bidi w:val="0"/>
        <w:adjustRightInd/>
        <w:snapToGrid w:val="0"/>
        <w:spacing w:line="360" w:lineRule="auto"/>
        <w:ind w:left="0" w:leftChars="0" w:firstLine="0" w:firstLineChars="0"/>
        <w:textAlignment w:val="auto"/>
        <w:rPr>
          <w:color w:val="auto"/>
          <w:sz w:val="21"/>
          <w:szCs w:val="21"/>
        </w:rPr>
      </w:pPr>
      <w:r>
        <w:rPr>
          <w:rFonts w:hint="eastAsia"/>
          <w:color w:val="auto"/>
          <w:sz w:val="21"/>
          <w:szCs w:val="21"/>
          <w:lang w:eastAsia="zh-CN"/>
        </w:rPr>
        <w:t>九、</w:t>
      </w:r>
      <w:r>
        <w:rPr>
          <w:color w:val="auto"/>
          <w:sz w:val="21"/>
          <w:szCs w:val="21"/>
        </w:rPr>
        <w:t>违约责任及</w:t>
      </w:r>
      <w:r>
        <w:rPr>
          <w:color w:val="auto"/>
          <w:spacing w:val="-3"/>
          <w:sz w:val="21"/>
          <w:szCs w:val="21"/>
        </w:rPr>
        <w:t>索</w:t>
      </w:r>
      <w:r>
        <w:rPr>
          <w:color w:val="auto"/>
          <w:sz w:val="21"/>
          <w:szCs w:val="21"/>
        </w:rPr>
        <w:t>赔</w:t>
      </w:r>
    </w:p>
    <w:p>
      <w:pPr>
        <w:keepNext w:val="0"/>
        <w:keepLines w:val="0"/>
        <w:pageBreakBefore w:val="0"/>
        <w:widowControl/>
        <w:suppressLineNumbers w:val="0"/>
        <w:kinsoku/>
        <w:wordWrap/>
        <w:overflowPunct/>
        <w:topLinePunct w:val="0"/>
        <w:bidi w:val="0"/>
        <w:adjustRightInd/>
        <w:spacing w:line="360" w:lineRule="auto"/>
        <w:ind w:left="0" w:leftChars="0" w:firstLine="0" w:firstLineChars="0"/>
        <w:jc w:val="left"/>
        <w:textAlignment w:val="auto"/>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9.1</w:t>
      </w:r>
      <w:r>
        <w:rPr>
          <w:rFonts w:hint="eastAsia" w:ascii="宋体" w:hAnsi="宋体" w:eastAsia="宋体" w:cs="宋体"/>
          <w:color w:val="auto"/>
          <w:kern w:val="0"/>
          <w:sz w:val="21"/>
          <w:szCs w:val="21"/>
          <w:lang w:val="en-US" w:eastAsia="zh-CN" w:bidi="ar"/>
        </w:rPr>
        <w:t>除不可抗力外，如果乙方没有按照本合同约定的期限、地点和方式履行，那么甲方可要求乙方支付违约金，违约金按每迟延履行一日的应提供而未提供服务价格的</w:t>
      </w:r>
      <w:r>
        <w:rPr>
          <w:rFonts w:hint="eastAsia" w:ascii="宋体" w:hAnsi="宋体" w:cs="宋体"/>
          <w:color w:val="auto"/>
          <w:kern w:val="0"/>
          <w:sz w:val="21"/>
          <w:szCs w:val="21"/>
          <w:lang w:val="en-US" w:eastAsia="zh-CN" w:bidi="ar"/>
        </w:rPr>
        <w:t>0.5</w:t>
      </w:r>
      <w:r>
        <w:rPr>
          <w:rFonts w:hint="eastAsia" w:ascii="宋体" w:hAnsi="宋体" w:eastAsia="宋体" w:cs="宋体"/>
          <w:color w:val="auto"/>
          <w:kern w:val="0"/>
          <w:sz w:val="21"/>
          <w:szCs w:val="21"/>
          <w:lang w:val="en-US" w:eastAsia="zh-CN" w:bidi="ar"/>
        </w:rPr>
        <w:t>%计算，最高限额为本合同总价的</w:t>
      </w:r>
      <w:r>
        <w:rPr>
          <w:rFonts w:hint="eastAsia" w:ascii="宋体" w:hAnsi="宋体" w:cs="宋体"/>
          <w:color w:val="auto"/>
          <w:kern w:val="0"/>
          <w:sz w:val="21"/>
          <w:szCs w:val="21"/>
          <w:lang w:val="en-US" w:eastAsia="zh-CN" w:bidi="ar"/>
        </w:rPr>
        <w:t>10</w:t>
      </w:r>
      <w:r>
        <w:rPr>
          <w:rFonts w:hint="eastAsia" w:ascii="宋体" w:hAnsi="宋体" w:eastAsia="宋体" w:cs="宋体"/>
          <w:color w:val="auto"/>
          <w:kern w:val="0"/>
          <w:sz w:val="21"/>
          <w:szCs w:val="21"/>
          <w:lang w:val="en-US" w:eastAsia="zh-CN" w:bidi="ar"/>
        </w:rPr>
        <w:t>%；迟延履行的违约金计算数额达到前述最高限额之日起，甲方有权在要求乙方支付违约金的同时，书面通知乙方解除本合同；</w:t>
      </w:r>
    </w:p>
    <w:p>
      <w:pPr>
        <w:keepNext w:val="0"/>
        <w:keepLines w:val="0"/>
        <w:pageBreakBefore w:val="0"/>
        <w:widowControl/>
        <w:suppressLineNumbers w:val="0"/>
        <w:kinsoku/>
        <w:wordWrap/>
        <w:overflowPunct/>
        <w:topLinePunct w:val="0"/>
        <w:bidi w:val="0"/>
        <w:adjustRightInd/>
        <w:spacing w:line="360" w:lineRule="auto"/>
        <w:ind w:left="0" w:leftChars="0" w:firstLine="0" w:firstLineChars="0"/>
        <w:jc w:val="left"/>
        <w:textAlignment w:val="auto"/>
        <w:rPr>
          <w:color w:val="auto"/>
          <w:sz w:val="21"/>
          <w:szCs w:val="21"/>
        </w:rPr>
      </w:pPr>
      <w:r>
        <w:rPr>
          <w:rFonts w:hint="eastAsia"/>
          <w:color w:val="auto"/>
          <w:sz w:val="21"/>
          <w:szCs w:val="21"/>
          <w:lang w:val="en-US" w:eastAsia="zh-CN"/>
        </w:rPr>
        <w:t>9.2</w:t>
      </w:r>
      <w:r>
        <w:rPr>
          <w:rFonts w:hint="eastAsia"/>
          <w:color w:val="auto"/>
          <w:sz w:val="21"/>
          <w:szCs w:val="21"/>
        </w:rPr>
        <w:t>发包人在中标人无过失的情况下，未能及时按合同付款，自逾付款第5日起，每天按照当期应付未付金额的0.5%向中标人支付滞纳金。</w:t>
      </w:r>
    </w:p>
    <w:p>
      <w:pPr>
        <w:keepNext w:val="0"/>
        <w:keepLines w:val="0"/>
        <w:pageBreakBefore w:val="0"/>
        <w:kinsoku/>
        <w:wordWrap/>
        <w:overflowPunct/>
        <w:topLinePunct w:val="0"/>
        <w:bidi w:val="0"/>
        <w:adjustRightInd/>
        <w:snapToGrid w:val="0"/>
        <w:spacing w:line="360" w:lineRule="auto"/>
        <w:ind w:left="0" w:leftChars="0" w:firstLine="0" w:firstLineChars="0"/>
        <w:textAlignment w:val="auto"/>
        <w:rPr>
          <w:color w:val="auto"/>
          <w:sz w:val="21"/>
          <w:szCs w:val="21"/>
        </w:rPr>
      </w:pPr>
      <w:r>
        <w:rPr>
          <w:rFonts w:hint="eastAsia"/>
          <w:color w:val="auto"/>
          <w:sz w:val="21"/>
          <w:szCs w:val="21"/>
          <w:lang w:val="en-US" w:eastAsia="zh-CN"/>
        </w:rPr>
        <w:t>9..3</w:t>
      </w:r>
      <w:r>
        <w:rPr>
          <w:color w:val="auto"/>
          <w:sz w:val="21"/>
          <w:szCs w:val="21"/>
        </w:rPr>
        <w:t>如果中标人无正当理由拖延管理或不按合同提供服务，受到以下制裁：</w:t>
      </w:r>
    </w:p>
    <w:p>
      <w:pPr>
        <w:keepNext w:val="0"/>
        <w:keepLines w:val="0"/>
        <w:pageBreakBefore w:val="0"/>
        <w:kinsoku/>
        <w:wordWrap/>
        <w:overflowPunct/>
        <w:topLinePunct w:val="0"/>
        <w:bidi w:val="0"/>
        <w:adjustRightInd/>
        <w:snapToGrid w:val="0"/>
        <w:spacing w:line="360" w:lineRule="auto"/>
        <w:ind w:left="0" w:leftChars="0" w:firstLine="0" w:firstLineChars="0"/>
        <w:textAlignment w:val="auto"/>
        <w:rPr>
          <w:color w:val="auto"/>
          <w:sz w:val="21"/>
          <w:szCs w:val="21"/>
        </w:rPr>
      </w:pPr>
      <w:r>
        <w:rPr>
          <w:color w:val="auto"/>
          <w:sz w:val="21"/>
          <w:szCs w:val="21"/>
        </w:rPr>
        <w:t>（1）没收履约保证金。（2）加收违约损失赔偿，</w:t>
      </w:r>
      <w:r>
        <w:rPr>
          <w:rFonts w:hint="eastAsia"/>
          <w:color w:val="auto"/>
          <w:sz w:val="21"/>
          <w:szCs w:val="21"/>
        </w:rPr>
        <w:t>中标方</w:t>
      </w:r>
      <w:r>
        <w:rPr>
          <w:color w:val="auto"/>
          <w:sz w:val="21"/>
          <w:szCs w:val="21"/>
        </w:rPr>
        <w:t>每天按合同标的的0.5%向</w:t>
      </w:r>
      <w:r>
        <w:rPr>
          <w:rFonts w:hint="eastAsia"/>
          <w:color w:val="auto"/>
          <w:sz w:val="21"/>
          <w:szCs w:val="21"/>
        </w:rPr>
        <w:t>发包人</w:t>
      </w:r>
      <w:r>
        <w:rPr>
          <w:color w:val="auto"/>
          <w:sz w:val="21"/>
          <w:szCs w:val="21"/>
        </w:rPr>
        <w:t>支付违约金，并赔偿</w:t>
      </w:r>
      <w:r>
        <w:rPr>
          <w:rFonts w:hint="eastAsia"/>
          <w:color w:val="auto"/>
          <w:sz w:val="21"/>
          <w:szCs w:val="21"/>
        </w:rPr>
        <w:t>发包人</w:t>
      </w:r>
      <w:r>
        <w:rPr>
          <w:color w:val="auto"/>
          <w:sz w:val="21"/>
          <w:szCs w:val="21"/>
        </w:rPr>
        <w:t>因此导致的损失，承担其他违约责任。</w:t>
      </w:r>
    </w:p>
    <w:p>
      <w:pPr>
        <w:keepNext w:val="0"/>
        <w:keepLines w:val="0"/>
        <w:pageBreakBefore w:val="0"/>
        <w:kinsoku/>
        <w:wordWrap/>
        <w:overflowPunct/>
        <w:topLinePunct w:val="0"/>
        <w:bidi w:val="0"/>
        <w:adjustRightInd/>
        <w:snapToGrid w:val="0"/>
        <w:spacing w:line="360" w:lineRule="auto"/>
        <w:ind w:left="0" w:leftChars="0" w:firstLine="0" w:firstLineChars="0"/>
        <w:textAlignment w:val="auto"/>
        <w:rPr>
          <w:color w:val="auto"/>
          <w:sz w:val="21"/>
          <w:szCs w:val="21"/>
        </w:rPr>
      </w:pPr>
      <w:r>
        <w:rPr>
          <w:rFonts w:hint="eastAsia"/>
          <w:color w:val="auto"/>
          <w:sz w:val="21"/>
          <w:szCs w:val="21"/>
          <w:lang w:val="en-US" w:eastAsia="zh-CN"/>
        </w:rPr>
        <w:t>9.4</w:t>
      </w:r>
      <w:r>
        <w:rPr>
          <w:color w:val="auto"/>
          <w:sz w:val="21"/>
          <w:szCs w:val="21"/>
        </w:rPr>
        <w:t>中标人如给发包人造成的实际损失高于违约金的，对高出违约金的部分中标人应予以赔偿。</w:t>
      </w:r>
    </w:p>
    <w:p>
      <w:pPr>
        <w:keepNext w:val="0"/>
        <w:keepLines w:val="0"/>
        <w:pageBreakBefore w:val="0"/>
        <w:kinsoku/>
        <w:wordWrap/>
        <w:overflowPunct/>
        <w:topLinePunct w:val="0"/>
        <w:bidi w:val="0"/>
        <w:adjustRightInd/>
        <w:snapToGrid w:val="0"/>
        <w:spacing w:line="360" w:lineRule="auto"/>
        <w:ind w:left="0" w:leftChars="0" w:firstLine="0" w:firstLineChars="0"/>
        <w:textAlignment w:val="auto"/>
        <w:rPr>
          <w:color w:val="auto"/>
          <w:sz w:val="21"/>
          <w:szCs w:val="21"/>
        </w:rPr>
      </w:pPr>
      <w:r>
        <w:rPr>
          <w:rFonts w:hint="eastAsia"/>
          <w:color w:val="auto"/>
          <w:sz w:val="21"/>
          <w:szCs w:val="21"/>
          <w:lang w:val="en-US" w:eastAsia="zh-CN"/>
        </w:rPr>
        <w:t>9.5</w:t>
      </w:r>
      <w:r>
        <w:rPr>
          <w:color w:val="auto"/>
          <w:sz w:val="21"/>
          <w:szCs w:val="21"/>
        </w:rPr>
        <w:t>不履行或履行合同不符合约定，自接到甲方要求按合同履约的通知第5日起，每天按合同标的的0.5%从乙方履约保证金中扣除违约金</w:t>
      </w:r>
      <w:r>
        <w:rPr>
          <w:rFonts w:hint="eastAsia"/>
          <w:color w:val="auto"/>
          <w:sz w:val="21"/>
          <w:szCs w:val="21"/>
        </w:rPr>
        <w:t>；</w:t>
      </w:r>
      <w:r>
        <w:rPr>
          <w:color w:val="auto"/>
          <w:sz w:val="21"/>
          <w:szCs w:val="21"/>
        </w:rPr>
        <w:t>乙方迟延履行合同、不完全履行合同，除支付违约金外,仍应实际履行合同；</w:t>
      </w:r>
    </w:p>
    <w:p>
      <w:pPr>
        <w:keepNext w:val="0"/>
        <w:keepLines w:val="0"/>
        <w:pageBreakBefore w:val="0"/>
        <w:kinsoku/>
        <w:wordWrap/>
        <w:overflowPunct/>
        <w:topLinePunct w:val="0"/>
        <w:bidi w:val="0"/>
        <w:adjustRightInd/>
        <w:snapToGrid w:val="0"/>
        <w:spacing w:line="360" w:lineRule="auto"/>
        <w:ind w:left="0" w:leftChars="0" w:firstLine="0" w:firstLineChars="0"/>
        <w:textAlignment w:val="auto"/>
        <w:rPr>
          <w:color w:val="auto"/>
          <w:sz w:val="21"/>
          <w:szCs w:val="21"/>
        </w:rPr>
      </w:pPr>
      <w:r>
        <w:rPr>
          <w:rFonts w:hint="eastAsia"/>
          <w:color w:val="auto"/>
          <w:sz w:val="21"/>
          <w:szCs w:val="21"/>
          <w:lang w:val="en-US" w:eastAsia="zh-CN"/>
        </w:rPr>
        <w:t>9.6</w:t>
      </w:r>
      <w:r>
        <w:rPr>
          <w:color w:val="auto"/>
          <w:sz w:val="21"/>
          <w:szCs w:val="21"/>
        </w:rPr>
        <w:t>乙方未能履行合同义务（除不可抗力因素外），不能完成服务目标，甲方有权要求乙方给予甲方经济赔偿。</w:t>
      </w:r>
    </w:p>
    <w:p>
      <w:pPr>
        <w:keepNext w:val="0"/>
        <w:keepLines w:val="0"/>
        <w:pageBreakBefore w:val="0"/>
        <w:kinsoku/>
        <w:wordWrap/>
        <w:overflowPunct/>
        <w:topLinePunct w:val="0"/>
        <w:bidi w:val="0"/>
        <w:adjustRightInd/>
        <w:snapToGrid w:val="0"/>
        <w:spacing w:line="360" w:lineRule="auto"/>
        <w:ind w:left="0" w:leftChars="0" w:firstLine="0" w:firstLineChars="0"/>
        <w:textAlignment w:val="auto"/>
        <w:rPr>
          <w:rFonts w:ascii="宋体" w:hAnsi="宋体"/>
          <w:color w:val="auto"/>
          <w:sz w:val="21"/>
          <w:szCs w:val="21"/>
        </w:rPr>
      </w:pPr>
      <w:r>
        <w:rPr>
          <w:rFonts w:hint="eastAsia"/>
          <w:color w:val="auto"/>
          <w:sz w:val="21"/>
          <w:szCs w:val="21"/>
          <w:lang w:val="en-US" w:eastAsia="zh-CN"/>
        </w:rPr>
        <w:t>9.7</w:t>
      </w:r>
      <w:r>
        <w:rPr>
          <w:color w:val="auto"/>
          <w:sz w:val="21"/>
          <w:szCs w:val="21"/>
        </w:rPr>
        <w:t>乙方应对所提供的服务项目与合同要求不符、或服务过程出现的失误按下述情形及规定承担相应责任：</w:t>
      </w:r>
      <w:r>
        <w:rPr>
          <w:rFonts w:ascii="宋体" w:hAnsi="宋体"/>
          <w:color w:val="auto"/>
          <w:sz w:val="21"/>
          <w:szCs w:val="21"/>
        </w:rPr>
        <w:t>（1）乙方未按要求维护保养检修或因监管不力致使坏设备的，应负责修复设备并赔偿由此造成的损失。（2）如果甲方提出索赔通知后30天内乙方未能予以答复，该索赔应视为己经被乙方接受。甲方将从履约保证金或直接在</w:t>
      </w:r>
      <w:r>
        <w:rPr>
          <w:rFonts w:hint="eastAsia" w:ascii="宋体" w:hAnsi="宋体"/>
          <w:color w:val="auto"/>
          <w:sz w:val="21"/>
          <w:szCs w:val="21"/>
          <w:lang w:eastAsia="zh-CN"/>
        </w:rPr>
        <w:t>合同价款</w:t>
      </w:r>
      <w:r>
        <w:rPr>
          <w:rFonts w:ascii="宋体" w:hAnsi="宋体"/>
          <w:color w:val="auto"/>
          <w:sz w:val="21"/>
          <w:szCs w:val="21"/>
        </w:rPr>
        <w:t>中扣除索赔金额，超出履约保证金部分仍由乙方赔付。</w:t>
      </w:r>
    </w:p>
    <w:p>
      <w:pPr>
        <w:keepNext w:val="0"/>
        <w:keepLines w:val="0"/>
        <w:pageBreakBefore w:val="0"/>
        <w:kinsoku/>
        <w:wordWrap/>
        <w:overflowPunct/>
        <w:topLinePunct w:val="0"/>
        <w:bidi w:val="0"/>
        <w:adjustRightInd/>
        <w:snapToGrid w:val="0"/>
        <w:spacing w:line="360" w:lineRule="auto"/>
        <w:ind w:left="0" w:leftChars="0" w:firstLine="0" w:firstLineChars="0"/>
        <w:textAlignment w:val="auto"/>
        <w:rPr>
          <w:rFonts w:hint="eastAsia" w:ascii="宋体" w:hAnsi="宋体"/>
          <w:color w:val="auto"/>
          <w:sz w:val="21"/>
          <w:szCs w:val="21"/>
        </w:rPr>
      </w:pPr>
      <w:r>
        <w:rPr>
          <w:rFonts w:hint="eastAsia" w:ascii="宋体" w:hAnsi="宋体"/>
          <w:color w:val="auto"/>
          <w:sz w:val="21"/>
          <w:szCs w:val="21"/>
          <w:lang w:val="en-US" w:eastAsia="zh-CN"/>
        </w:rPr>
        <w:t>9.8</w:t>
      </w:r>
      <w:r>
        <w:rPr>
          <w:rFonts w:hint="eastAsia" w:ascii="宋体" w:hAnsi="宋体"/>
          <w:color w:val="auto"/>
          <w:sz w:val="21"/>
          <w:szCs w:val="21"/>
        </w:rPr>
        <w:t>中标人不得将项目非法分包或转包给任何单位和个人。否则，采购单位有权即刻终止合同，并要求中标人赔偿相应损失。</w:t>
      </w:r>
    </w:p>
    <w:p>
      <w:pPr>
        <w:keepNext w:val="0"/>
        <w:keepLines w:val="0"/>
        <w:pageBreakBefore w:val="0"/>
        <w:kinsoku/>
        <w:wordWrap/>
        <w:overflowPunct/>
        <w:topLinePunct w:val="0"/>
        <w:bidi w:val="0"/>
        <w:adjustRightInd/>
        <w:snapToGrid w:val="0"/>
        <w:spacing w:line="360" w:lineRule="auto"/>
        <w:ind w:left="0" w:leftChars="0" w:firstLine="0" w:firstLineChars="0"/>
        <w:textAlignment w:val="auto"/>
        <w:rPr>
          <w:color w:val="auto"/>
          <w:sz w:val="21"/>
          <w:szCs w:val="21"/>
        </w:rPr>
      </w:pPr>
      <w:r>
        <w:rPr>
          <w:rFonts w:hint="eastAsia"/>
          <w:color w:val="auto"/>
          <w:sz w:val="21"/>
          <w:szCs w:val="21"/>
          <w:lang w:eastAsia="zh-CN"/>
        </w:rPr>
        <w:t>十、</w:t>
      </w:r>
      <w:r>
        <w:rPr>
          <w:rFonts w:hint="eastAsia"/>
          <w:color w:val="auto"/>
          <w:sz w:val="21"/>
          <w:szCs w:val="21"/>
        </w:rPr>
        <w:t>合同期限：</w:t>
      </w:r>
      <w:r>
        <w:rPr>
          <w:rFonts w:hint="eastAsia"/>
          <w:color w:val="auto"/>
          <w:sz w:val="21"/>
          <w:szCs w:val="21"/>
          <w:lang w:eastAsia="zh-CN"/>
        </w:rPr>
        <w:t>三</w:t>
      </w:r>
      <w:r>
        <w:rPr>
          <w:rFonts w:hint="eastAsia"/>
          <w:color w:val="auto"/>
          <w:sz w:val="21"/>
          <w:szCs w:val="21"/>
        </w:rPr>
        <w:t>年。</w:t>
      </w:r>
      <w:r>
        <w:rPr>
          <w:rFonts w:hint="eastAsia" w:ascii="宋体" w:hAnsi="宋体" w:cs="宋体"/>
          <w:color w:val="auto"/>
          <w:kern w:val="0"/>
          <w:sz w:val="21"/>
          <w:szCs w:val="21"/>
        </w:rPr>
        <w:t>自---日起，至 ----止</w:t>
      </w:r>
      <w:r>
        <w:rPr>
          <w:rFonts w:hint="eastAsia" w:ascii="仿宋" w:hAnsi="仿宋" w:eastAsia="仿宋" w:cs="仿宋"/>
          <w:color w:val="auto"/>
          <w:sz w:val="21"/>
          <w:szCs w:val="21"/>
        </w:rPr>
        <w:t>，</w:t>
      </w:r>
      <w:r>
        <w:rPr>
          <w:rFonts w:hint="eastAsia"/>
          <w:color w:val="auto"/>
          <w:sz w:val="21"/>
          <w:szCs w:val="21"/>
        </w:rPr>
        <w:t>每一个运行年度期满，甲方对乙方合同履行情况进行综合评价，对于乙方存在的已经影响或可能影响合同履行的问题提出书面整改意见，乙方应落实整改。如果因为乙方没有落实整改而发生问题，使甲方</w:t>
      </w:r>
      <w:r>
        <w:rPr>
          <w:rFonts w:hint="eastAsia"/>
          <w:color w:val="auto"/>
          <w:sz w:val="21"/>
          <w:szCs w:val="21"/>
          <w:lang w:eastAsia="zh-CN"/>
        </w:rPr>
        <w:t>因系统软件问题造成</w:t>
      </w:r>
      <w:r>
        <w:rPr>
          <w:rFonts w:hint="eastAsia"/>
          <w:color w:val="auto"/>
          <w:sz w:val="21"/>
          <w:szCs w:val="21"/>
        </w:rPr>
        <w:t>的损失由乙方承担。</w:t>
      </w:r>
    </w:p>
    <w:p>
      <w:pPr>
        <w:pStyle w:val="105"/>
        <w:keepNext w:val="0"/>
        <w:keepLines w:val="0"/>
        <w:pageBreakBefore w:val="0"/>
        <w:numPr>
          <w:ilvl w:val="0"/>
          <w:numId w:val="0"/>
        </w:numPr>
        <w:tabs>
          <w:tab w:val="left" w:pos="770"/>
        </w:tabs>
        <w:kinsoku/>
        <w:wordWrap/>
        <w:overflowPunct/>
        <w:topLinePunct w:val="0"/>
        <w:autoSpaceDE w:val="0"/>
        <w:autoSpaceDN w:val="0"/>
        <w:bidi w:val="0"/>
        <w:adjustRightInd/>
        <w:spacing w:line="360" w:lineRule="auto"/>
        <w:ind w:left="0" w:leftChars="0" w:firstLine="0" w:firstLineChars="0"/>
        <w:jc w:val="left"/>
        <w:textAlignment w:val="auto"/>
        <w:rPr>
          <w:rFonts w:ascii="Calibri" w:hAnsi="Calibri"/>
          <w:color w:val="auto"/>
          <w:sz w:val="21"/>
          <w:szCs w:val="21"/>
        </w:rPr>
      </w:pPr>
      <w:r>
        <w:rPr>
          <w:rFonts w:hint="eastAsia" w:ascii="Calibri" w:hAnsi="Calibri"/>
          <w:color w:val="auto"/>
          <w:sz w:val="21"/>
          <w:szCs w:val="21"/>
          <w:lang w:eastAsia="zh-CN"/>
        </w:rPr>
        <w:t>十一、</w:t>
      </w:r>
      <w:r>
        <w:rPr>
          <w:rFonts w:ascii="Calibri" w:hAnsi="Calibri"/>
          <w:color w:val="auto"/>
          <w:sz w:val="21"/>
          <w:szCs w:val="21"/>
        </w:rPr>
        <w:t>合同终止情形</w:t>
      </w:r>
    </w:p>
    <w:p>
      <w:pPr>
        <w:pStyle w:val="105"/>
        <w:keepNext w:val="0"/>
        <w:keepLines w:val="0"/>
        <w:pageBreakBefore w:val="0"/>
        <w:numPr>
          <w:ilvl w:val="0"/>
          <w:numId w:val="0"/>
        </w:numPr>
        <w:tabs>
          <w:tab w:val="left" w:pos="770"/>
        </w:tabs>
        <w:kinsoku/>
        <w:wordWrap/>
        <w:overflowPunct/>
        <w:topLinePunct w:val="0"/>
        <w:autoSpaceDE w:val="0"/>
        <w:autoSpaceDN w:val="0"/>
        <w:bidi w:val="0"/>
        <w:adjustRightInd/>
        <w:spacing w:line="360" w:lineRule="auto"/>
        <w:ind w:left="0" w:leftChars="0" w:firstLine="0" w:firstLineChars="0"/>
        <w:jc w:val="left"/>
        <w:textAlignment w:val="auto"/>
        <w:rPr>
          <w:color w:val="auto"/>
          <w:sz w:val="21"/>
          <w:szCs w:val="21"/>
        </w:rPr>
      </w:pPr>
      <w:r>
        <w:rPr>
          <w:rFonts w:hint="eastAsia"/>
          <w:color w:val="auto"/>
          <w:sz w:val="21"/>
          <w:szCs w:val="21"/>
          <w:lang w:val="en-US" w:eastAsia="zh-CN"/>
        </w:rPr>
        <w:t>11.1</w:t>
      </w:r>
      <w:r>
        <w:rPr>
          <w:rFonts w:hint="eastAsia"/>
          <w:color w:val="auto"/>
          <w:sz w:val="21"/>
          <w:szCs w:val="21"/>
        </w:rPr>
        <w:t>合同期满，自然终止。</w:t>
      </w:r>
    </w:p>
    <w:p>
      <w:pPr>
        <w:pStyle w:val="105"/>
        <w:keepNext w:val="0"/>
        <w:keepLines w:val="0"/>
        <w:pageBreakBefore w:val="0"/>
        <w:numPr>
          <w:ilvl w:val="0"/>
          <w:numId w:val="0"/>
        </w:numPr>
        <w:tabs>
          <w:tab w:val="left" w:pos="770"/>
        </w:tabs>
        <w:kinsoku/>
        <w:wordWrap/>
        <w:overflowPunct/>
        <w:topLinePunct w:val="0"/>
        <w:autoSpaceDE w:val="0"/>
        <w:autoSpaceDN w:val="0"/>
        <w:bidi w:val="0"/>
        <w:adjustRightInd/>
        <w:spacing w:line="360" w:lineRule="auto"/>
        <w:ind w:left="0" w:leftChars="0" w:firstLine="0" w:firstLineChars="0"/>
        <w:textAlignment w:val="auto"/>
        <w:rPr>
          <w:color w:val="auto"/>
          <w:sz w:val="21"/>
          <w:szCs w:val="21"/>
        </w:rPr>
      </w:pPr>
      <w:r>
        <w:rPr>
          <w:rFonts w:hint="eastAsia"/>
          <w:color w:val="auto"/>
          <w:sz w:val="21"/>
          <w:szCs w:val="21"/>
          <w:lang w:val="en-US" w:eastAsia="zh-CN"/>
        </w:rPr>
        <w:t>11.2</w:t>
      </w:r>
      <w:r>
        <w:rPr>
          <w:rFonts w:hint="eastAsia"/>
          <w:color w:val="auto"/>
          <w:sz w:val="21"/>
          <w:szCs w:val="21"/>
        </w:rPr>
        <w:t>甲方因为乙方严重违约</w:t>
      </w:r>
      <w:r>
        <w:rPr>
          <w:rFonts w:hint="eastAsia"/>
          <w:color w:val="auto"/>
          <w:sz w:val="21"/>
          <w:szCs w:val="21"/>
          <w:lang w:eastAsia="zh-CN"/>
        </w:rPr>
        <w:t>致使甲方在不能正常使用</w:t>
      </w:r>
      <w:r>
        <w:rPr>
          <w:rFonts w:hint="eastAsia"/>
          <w:color w:val="auto"/>
          <w:sz w:val="21"/>
          <w:szCs w:val="21"/>
          <w:lang w:val="en-US" w:eastAsia="zh-CN"/>
        </w:rPr>
        <w:t>DRG综合信息管理系统的</w:t>
      </w:r>
      <w:r>
        <w:rPr>
          <w:rFonts w:hint="eastAsia"/>
          <w:color w:val="auto"/>
          <w:sz w:val="21"/>
          <w:szCs w:val="21"/>
        </w:rPr>
        <w:t>，甲方有权终止合同，由此造成的损失和后果由乙方承担。</w:t>
      </w:r>
    </w:p>
    <w:p>
      <w:pPr>
        <w:pStyle w:val="105"/>
        <w:keepNext w:val="0"/>
        <w:keepLines w:val="0"/>
        <w:pageBreakBefore w:val="0"/>
        <w:numPr>
          <w:ilvl w:val="0"/>
          <w:numId w:val="0"/>
        </w:numPr>
        <w:tabs>
          <w:tab w:val="left" w:pos="770"/>
        </w:tabs>
        <w:kinsoku/>
        <w:wordWrap/>
        <w:overflowPunct/>
        <w:topLinePunct w:val="0"/>
        <w:autoSpaceDE w:val="0"/>
        <w:autoSpaceDN w:val="0"/>
        <w:bidi w:val="0"/>
        <w:adjustRightInd/>
        <w:spacing w:before="3" w:line="360" w:lineRule="auto"/>
        <w:ind w:left="0" w:leftChars="0" w:firstLine="0" w:firstLineChars="0"/>
        <w:textAlignment w:val="auto"/>
        <w:rPr>
          <w:color w:val="auto"/>
          <w:sz w:val="21"/>
          <w:szCs w:val="21"/>
        </w:rPr>
      </w:pPr>
      <w:r>
        <w:rPr>
          <w:rFonts w:hint="eastAsia" w:ascii="Calibri" w:hAnsi="Calibri"/>
          <w:color w:val="auto"/>
          <w:sz w:val="21"/>
          <w:szCs w:val="21"/>
          <w:lang w:val="en-US" w:eastAsia="zh-CN"/>
        </w:rPr>
        <w:t>11.3</w:t>
      </w:r>
      <w:r>
        <w:rPr>
          <w:rFonts w:ascii="Calibri" w:hAnsi="Calibri"/>
          <w:color w:val="auto"/>
          <w:sz w:val="21"/>
          <w:szCs w:val="21"/>
        </w:rPr>
        <w:t>乙方不履行或履行合同不符合约定30天，甲方有权无条件终止本合同；因乙方违约给甲方造成的损失由乙方对甲方全部赔偿</w:t>
      </w:r>
      <w:r>
        <w:rPr>
          <w:rFonts w:hint="eastAsia"/>
          <w:color w:val="auto"/>
          <w:sz w:val="21"/>
          <w:szCs w:val="21"/>
        </w:rPr>
        <w:t>。</w:t>
      </w:r>
    </w:p>
    <w:p>
      <w:pPr>
        <w:pStyle w:val="105"/>
        <w:keepNext w:val="0"/>
        <w:keepLines w:val="0"/>
        <w:pageBreakBefore w:val="0"/>
        <w:numPr>
          <w:ilvl w:val="0"/>
          <w:numId w:val="0"/>
        </w:numPr>
        <w:tabs>
          <w:tab w:val="left" w:pos="770"/>
        </w:tabs>
        <w:kinsoku/>
        <w:wordWrap/>
        <w:overflowPunct/>
        <w:topLinePunct w:val="0"/>
        <w:autoSpaceDE w:val="0"/>
        <w:autoSpaceDN w:val="0"/>
        <w:bidi w:val="0"/>
        <w:adjustRightInd/>
        <w:spacing w:before="3" w:line="360" w:lineRule="auto"/>
        <w:ind w:left="0" w:leftChars="0" w:firstLine="0" w:firstLineChars="0"/>
        <w:jc w:val="left"/>
        <w:textAlignment w:val="auto"/>
        <w:rPr>
          <w:color w:val="auto"/>
          <w:sz w:val="21"/>
          <w:szCs w:val="21"/>
        </w:rPr>
      </w:pPr>
      <w:r>
        <w:rPr>
          <w:rFonts w:hint="eastAsia"/>
          <w:color w:val="auto"/>
          <w:sz w:val="21"/>
          <w:szCs w:val="21"/>
          <w:lang w:val="en-US" w:eastAsia="zh-CN"/>
        </w:rPr>
        <w:t>11.4</w:t>
      </w:r>
      <w:r>
        <w:rPr>
          <w:rFonts w:hint="eastAsia"/>
          <w:color w:val="auto"/>
          <w:sz w:val="21"/>
          <w:szCs w:val="21"/>
        </w:rPr>
        <w:t>甲方违反合同付款约定，拖延付款90天以上，乙方有权终止合同，由此造成的损失和后果由甲方承担。</w:t>
      </w:r>
    </w:p>
    <w:p>
      <w:pPr>
        <w:pStyle w:val="20"/>
        <w:keepNext w:val="0"/>
        <w:keepLines w:val="0"/>
        <w:pageBreakBefore w:val="0"/>
        <w:kinsoku/>
        <w:wordWrap/>
        <w:overflowPunct/>
        <w:topLinePunct w:val="0"/>
        <w:bidi w:val="0"/>
        <w:adjustRightInd/>
        <w:spacing w:before="9" w:line="360" w:lineRule="auto"/>
        <w:ind w:left="0" w:leftChars="0" w:firstLine="0" w:firstLineChars="0"/>
        <w:textAlignment w:val="auto"/>
        <w:rPr>
          <w:b/>
          <w:color w:val="0070C0"/>
          <w:sz w:val="21"/>
          <w:szCs w:val="21"/>
        </w:rPr>
      </w:pPr>
      <w:r>
        <w:rPr>
          <w:rFonts w:hint="eastAsia"/>
          <w:color w:val="auto"/>
          <w:sz w:val="21"/>
          <w:szCs w:val="21"/>
          <w:lang w:eastAsia="zh-CN"/>
        </w:rPr>
        <w:t>十二</w:t>
      </w:r>
      <w:r>
        <w:rPr>
          <w:rFonts w:hint="eastAsia"/>
          <w:color w:val="auto"/>
          <w:sz w:val="21"/>
          <w:szCs w:val="21"/>
        </w:rPr>
        <w:t>、</w:t>
      </w:r>
      <w:r>
        <w:rPr>
          <w:color w:val="auto"/>
          <w:spacing w:val="-5"/>
          <w:sz w:val="21"/>
          <w:szCs w:val="21"/>
        </w:rPr>
        <w:t>本合同如发生纠纷，当事人双方应当及时协商解决，协商不成时，</w:t>
      </w:r>
      <w:r>
        <w:rPr>
          <w:color w:val="auto"/>
          <w:sz w:val="21"/>
          <w:szCs w:val="21"/>
        </w:rPr>
        <w:t>根据《中华人民共和国仲裁法》的规定向</w:t>
      </w:r>
      <w:r>
        <w:rPr>
          <w:b/>
          <w:color w:val="auto"/>
          <w:sz w:val="21"/>
          <w:szCs w:val="21"/>
          <w:u w:val="single"/>
        </w:rPr>
        <w:t>淮北仲裁委员会</w:t>
      </w:r>
      <w:r>
        <w:rPr>
          <w:color w:val="auto"/>
          <w:spacing w:val="-2"/>
          <w:sz w:val="21"/>
          <w:szCs w:val="21"/>
        </w:rPr>
        <w:t>申请仲裁。</w:t>
      </w:r>
    </w:p>
    <w:p>
      <w:pPr>
        <w:spacing w:before="215"/>
        <w:ind w:left="527" w:right="32"/>
        <w:jc w:val="center"/>
        <w:rPr>
          <w:b/>
          <w:color w:val="auto"/>
          <w:sz w:val="32"/>
        </w:rPr>
      </w:pPr>
      <w:r>
        <w:rPr>
          <w:b/>
          <w:color w:val="auto"/>
          <w:sz w:val="32"/>
        </w:rPr>
        <w:t>第</w:t>
      </w:r>
      <w:r>
        <w:rPr>
          <w:rFonts w:hint="eastAsia"/>
          <w:b/>
          <w:color w:val="auto"/>
          <w:sz w:val="32"/>
        </w:rPr>
        <w:t>五</w:t>
      </w:r>
      <w:r>
        <w:rPr>
          <w:b/>
          <w:color w:val="auto"/>
          <w:sz w:val="32"/>
        </w:rPr>
        <w:t>章 采购需求</w:t>
      </w:r>
    </w:p>
    <w:bookmarkEnd w:id="290"/>
    <w:bookmarkEnd w:id="291"/>
    <w:bookmarkEnd w:id="292"/>
    <w:bookmarkEnd w:id="293"/>
    <w:p>
      <w:pPr>
        <w:pStyle w:val="7"/>
        <w:adjustRightInd w:val="0"/>
        <w:spacing w:before="156" w:after="156"/>
        <w:ind w:right="103"/>
        <w:jc w:val="both"/>
        <w:rPr>
          <w:color w:val="auto"/>
          <w:sz w:val="24"/>
          <w:szCs w:val="24"/>
        </w:rPr>
      </w:pPr>
      <w:bookmarkStart w:id="294" w:name="_Toc388887663"/>
      <w:bookmarkStart w:id="295" w:name="_Toc1716"/>
      <w:bookmarkStart w:id="296" w:name="_Toc473902488"/>
      <w:bookmarkStart w:id="297" w:name="_Toc394068452"/>
      <w:bookmarkStart w:id="298" w:name="_Toc388887302"/>
      <w:bookmarkStart w:id="299" w:name="_Toc99977857"/>
      <w:r>
        <w:rPr>
          <w:color w:val="auto"/>
          <w:sz w:val="24"/>
          <w:szCs w:val="24"/>
        </w:rPr>
        <w:t>一</w:t>
      </w:r>
      <w:r>
        <w:rPr>
          <w:rFonts w:hint="eastAsia"/>
          <w:color w:val="auto"/>
          <w:sz w:val="24"/>
          <w:szCs w:val="24"/>
        </w:rPr>
        <w:t>、</w:t>
      </w:r>
      <w:r>
        <w:rPr>
          <w:color w:val="auto"/>
          <w:sz w:val="24"/>
          <w:szCs w:val="24"/>
        </w:rPr>
        <w:t>项目概况</w:t>
      </w:r>
    </w:p>
    <w:p>
      <w:pPr>
        <w:spacing w:line="360" w:lineRule="auto"/>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安徽相王医疗健康股份有限公司坐落在安徽省淮北市，有三个院区，分别为安徽省淮北市相山北路3号本部院区安徽皖北康复医院、淮北市相山区孟山北路1号西部院区淮北市职业病防治院、淮北市相山区淮海中路78号A-01号南部院区淮北市相山区西街道社区服务中心。本次项目为软件系统服务项目，硬件、网络、安全等都利用现有医院资源，不另行采购。</w:t>
      </w:r>
    </w:p>
    <w:p>
      <w:pPr>
        <w:pStyle w:val="2"/>
        <w:numPr>
          <w:ilvl w:val="0"/>
          <w:numId w:val="0"/>
        </w:numPr>
        <w:ind w:leftChars="0"/>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二、★采购范围</w:t>
      </w:r>
    </w:p>
    <w:tbl>
      <w:tblPr>
        <w:tblStyle w:val="4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961"/>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709" w:type="dxa"/>
            <w:vAlign w:val="center"/>
          </w:tcPr>
          <w:p>
            <w:pPr>
              <w:adjustRightInd w:val="0"/>
              <w:spacing w:line="360" w:lineRule="auto"/>
              <w:jc w:val="center"/>
              <w:rPr>
                <w:rFonts w:ascii="宋体" w:hAnsi="宋体" w:cs="宋体"/>
                <w:b/>
                <w:bCs/>
                <w:kern w:val="0"/>
                <w:szCs w:val="21"/>
              </w:rPr>
            </w:pPr>
            <w:r>
              <w:rPr>
                <w:rFonts w:hint="eastAsia" w:ascii="宋体" w:hAnsi="宋体" w:cs="宋体"/>
                <w:b/>
                <w:bCs/>
                <w:kern w:val="0"/>
                <w:szCs w:val="21"/>
              </w:rPr>
              <w:t>序号</w:t>
            </w:r>
          </w:p>
        </w:tc>
        <w:tc>
          <w:tcPr>
            <w:tcW w:w="4961" w:type="dxa"/>
            <w:vAlign w:val="center"/>
          </w:tcPr>
          <w:p>
            <w:pPr>
              <w:adjustRightInd w:val="0"/>
              <w:spacing w:line="360" w:lineRule="auto"/>
              <w:jc w:val="center"/>
              <w:rPr>
                <w:rFonts w:ascii="宋体" w:hAnsi="宋体" w:cs="宋体"/>
                <w:b/>
                <w:bCs/>
                <w:kern w:val="0"/>
                <w:szCs w:val="21"/>
              </w:rPr>
            </w:pPr>
            <w:r>
              <w:rPr>
                <w:rFonts w:hint="eastAsia" w:ascii="宋体" w:hAnsi="宋体" w:cs="宋体"/>
                <w:b/>
                <w:bCs/>
                <w:kern w:val="0"/>
                <w:szCs w:val="21"/>
              </w:rPr>
              <w:t>产品名称</w:t>
            </w:r>
          </w:p>
        </w:tc>
        <w:tc>
          <w:tcPr>
            <w:tcW w:w="1276" w:type="dxa"/>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数量</w:t>
            </w:r>
          </w:p>
        </w:tc>
        <w:tc>
          <w:tcPr>
            <w:tcW w:w="1134" w:type="dxa"/>
          </w:tcPr>
          <w:p>
            <w:pPr>
              <w:widowControl/>
              <w:spacing w:line="360" w:lineRule="auto"/>
              <w:jc w:val="center"/>
              <w:rPr>
                <w:rFonts w:ascii="宋体" w:hAnsi="宋体" w:cs="宋体"/>
                <w:b/>
                <w:bCs/>
                <w:kern w:val="0"/>
                <w:szCs w:val="21"/>
              </w:rPr>
            </w:pPr>
            <w:r>
              <w:rPr>
                <w:rFonts w:hint="eastAsia" w:ascii="宋体" w:hAnsi="宋体" w:cs="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09" w:type="dxa"/>
            <w:vAlign w:val="center"/>
          </w:tcPr>
          <w:p>
            <w:pPr>
              <w:widowControl/>
              <w:spacing w:line="360" w:lineRule="auto"/>
              <w:jc w:val="center"/>
              <w:rPr>
                <w:rFonts w:ascii="宋体" w:hAnsi="宋体"/>
                <w:szCs w:val="21"/>
              </w:rPr>
            </w:pPr>
            <w:r>
              <w:rPr>
                <w:rFonts w:ascii="宋体" w:hAnsi="宋体"/>
                <w:szCs w:val="21"/>
              </w:rPr>
              <w:t>1</w:t>
            </w:r>
          </w:p>
        </w:tc>
        <w:tc>
          <w:tcPr>
            <w:tcW w:w="4961" w:type="dxa"/>
            <w:vAlign w:val="center"/>
          </w:tcPr>
          <w:p>
            <w:pPr>
              <w:widowControl/>
              <w:spacing w:line="360" w:lineRule="auto"/>
              <w:jc w:val="center"/>
              <w:rPr>
                <w:rFonts w:ascii="宋体" w:hAnsi="宋体"/>
                <w:szCs w:val="21"/>
              </w:rPr>
            </w:pPr>
            <w:r>
              <w:rPr>
                <w:rFonts w:hint="eastAsia" w:ascii="宋体" w:hAnsi="宋体"/>
                <w:szCs w:val="21"/>
              </w:rPr>
              <w:t>医院DRG综合管理信息系统</w:t>
            </w:r>
          </w:p>
        </w:tc>
        <w:tc>
          <w:tcPr>
            <w:tcW w:w="1276" w:type="dxa"/>
            <w:vAlign w:val="center"/>
          </w:tcPr>
          <w:p>
            <w:pPr>
              <w:widowControl/>
              <w:spacing w:line="360" w:lineRule="auto"/>
              <w:jc w:val="center"/>
              <w:rPr>
                <w:rFonts w:ascii="宋体" w:hAnsi="宋体"/>
                <w:szCs w:val="21"/>
              </w:rPr>
            </w:pPr>
            <w:r>
              <w:rPr>
                <w:rFonts w:hint="eastAsia" w:ascii="宋体" w:hAnsi="宋体"/>
                <w:szCs w:val="21"/>
              </w:rPr>
              <w:t>1套</w:t>
            </w:r>
          </w:p>
        </w:tc>
        <w:tc>
          <w:tcPr>
            <w:tcW w:w="1134" w:type="dxa"/>
          </w:tcPr>
          <w:p>
            <w:pPr>
              <w:widowControl/>
              <w:spacing w:line="360" w:lineRule="auto"/>
              <w:jc w:val="center"/>
              <w:rPr>
                <w:rFonts w:ascii="宋体" w:hAnsi="宋体"/>
                <w:szCs w:val="21"/>
              </w:rPr>
            </w:pPr>
            <w:r>
              <w:rPr>
                <w:rFonts w:hint="eastAsia" w:ascii="宋体" w:hAnsi="宋体"/>
                <w:szCs w:val="21"/>
              </w:rPr>
              <w:t>无</w:t>
            </w:r>
          </w:p>
        </w:tc>
      </w:tr>
    </w:tbl>
    <w:p>
      <w:pPr>
        <w:keepNext w:val="0"/>
        <w:keepLines w:val="0"/>
        <w:widowControl/>
        <w:suppressLineNumbers w:val="0"/>
        <w:jc w:val="left"/>
        <w:rPr>
          <w:rFonts w:hint="eastAsia" w:ascii="宋体" w:hAnsi="宋体" w:eastAsia="宋体" w:cs="Times New Roman"/>
          <w:b/>
          <w:bCs/>
          <w:color w:val="auto"/>
          <w:kern w:val="2"/>
          <w:sz w:val="24"/>
          <w:szCs w:val="24"/>
          <w:lang w:val="en-US" w:eastAsia="zh-CN" w:bidi="ar-SA"/>
        </w:rPr>
      </w:pPr>
      <w:r>
        <w:rPr>
          <w:rFonts w:hint="eastAsia" w:ascii="宋体" w:hAnsi="宋体" w:cs="Times New Roman"/>
          <w:b/>
          <w:bCs/>
          <w:color w:val="auto"/>
          <w:kern w:val="2"/>
          <w:sz w:val="24"/>
          <w:szCs w:val="24"/>
          <w:lang w:val="en-US" w:eastAsia="zh-CN" w:bidi="ar-SA"/>
        </w:rPr>
        <w:t>三、配置清单</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851"/>
        <w:gridCol w:w="1730"/>
        <w:gridCol w:w="1134"/>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72" w:type="dxa"/>
            <w:vAlign w:val="center"/>
          </w:tcPr>
          <w:p>
            <w:pPr>
              <w:spacing w:line="360" w:lineRule="auto"/>
              <w:jc w:val="center"/>
              <w:rPr>
                <w:rFonts w:ascii="宋体" w:hAnsi="宋体"/>
                <w:b/>
                <w:bCs/>
                <w:szCs w:val="21"/>
              </w:rPr>
            </w:pPr>
            <w:r>
              <w:rPr>
                <w:rFonts w:hint="eastAsia" w:ascii="宋体" w:hAnsi="宋体"/>
                <w:b/>
                <w:bCs/>
                <w:szCs w:val="21"/>
              </w:rPr>
              <w:t>序号</w:t>
            </w:r>
          </w:p>
        </w:tc>
        <w:tc>
          <w:tcPr>
            <w:tcW w:w="2851" w:type="dxa"/>
            <w:vAlign w:val="center"/>
          </w:tcPr>
          <w:p>
            <w:pPr>
              <w:spacing w:line="360" w:lineRule="auto"/>
              <w:jc w:val="center"/>
              <w:rPr>
                <w:rFonts w:ascii="宋体" w:hAnsi="宋体"/>
                <w:b/>
                <w:bCs/>
                <w:szCs w:val="21"/>
              </w:rPr>
            </w:pPr>
            <w:r>
              <w:rPr>
                <w:rFonts w:hint="eastAsia" w:ascii="宋体" w:hAnsi="宋体"/>
                <w:b/>
                <w:bCs/>
                <w:szCs w:val="21"/>
              </w:rPr>
              <w:t>货物名称</w:t>
            </w:r>
          </w:p>
        </w:tc>
        <w:tc>
          <w:tcPr>
            <w:tcW w:w="1730" w:type="dxa"/>
            <w:vAlign w:val="center"/>
          </w:tcPr>
          <w:p>
            <w:pPr>
              <w:spacing w:line="360" w:lineRule="auto"/>
              <w:jc w:val="center"/>
              <w:rPr>
                <w:rFonts w:ascii="宋体" w:hAnsi="宋体"/>
                <w:b/>
                <w:bCs/>
                <w:szCs w:val="21"/>
              </w:rPr>
            </w:pPr>
            <w:r>
              <w:rPr>
                <w:rFonts w:hint="eastAsia" w:ascii="宋体" w:hAnsi="宋体"/>
                <w:b/>
                <w:bCs/>
                <w:szCs w:val="21"/>
              </w:rPr>
              <w:t>数量</w:t>
            </w:r>
          </w:p>
        </w:tc>
        <w:tc>
          <w:tcPr>
            <w:tcW w:w="1134" w:type="dxa"/>
          </w:tcPr>
          <w:p>
            <w:pPr>
              <w:spacing w:line="360" w:lineRule="auto"/>
              <w:jc w:val="center"/>
              <w:rPr>
                <w:rFonts w:ascii="宋体" w:hAnsi="宋体"/>
                <w:b/>
                <w:bCs/>
                <w:szCs w:val="21"/>
              </w:rPr>
            </w:pPr>
            <w:r>
              <w:rPr>
                <w:rFonts w:hint="eastAsia" w:ascii="宋体" w:hAnsi="宋体"/>
                <w:b/>
                <w:bCs/>
                <w:szCs w:val="21"/>
              </w:rPr>
              <w:t>单位</w:t>
            </w:r>
          </w:p>
        </w:tc>
        <w:tc>
          <w:tcPr>
            <w:tcW w:w="1583" w:type="dxa"/>
            <w:vAlign w:val="center"/>
          </w:tcPr>
          <w:p>
            <w:pPr>
              <w:spacing w:line="360" w:lineRule="auto"/>
              <w:jc w:val="center"/>
              <w:rPr>
                <w:rFonts w:ascii="宋体" w:hAnsi="宋体"/>
                <w:b/>
                <w:bCs/>
                <w:szCs w:val="21"/>
              </w:rPr>
            </w:pPr>
            <w:r>
              <w:rPr>
                <w:rFonts w:hint="eastAsia" w:ascii="宋体" w:hAnsi="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772" w:type="dxa"/>
            <w:vAlign w:val="center"/>
          </w:tcPr>
          <w:p>
            <w:pPr>
              <w:widowControl/>
              <w:spacing w:line="360" w:lineRule="auto"/>
              <w:jc w:val="center"/>
              <w:rPr>
                <w:rFonts w:ascii="宋体" w:hAnsi="宋体"/>
                <w:szCs w:val="21"/>
              </w:rPr>
            </w:pPr>
            <w:r>
              <w:rPr>
                <w:rFonts w:ascii="宋体" w:hAnsi="宋体"/>
                <w:szCs w:val="21"/>
              </w:rPr>
              <w:t>1</w:t>
            </w:r>
          </w:p>
        </w:tc>
        <w:tc>
          <w:tcPr>
            <w:tcW w:w="2851" w:type="dxa"/>
            <w:vAlign w:val="center"/>
          </w:tcPr>
          <w:p>
            <w:pPr>
              <w:widowControl/>
              <w:spacing w:line="360" w:lineRule="auto"/>
              <w:jc w:val="center"/>
              <w:rPr>
                <w:rFonts w:ascii="宋体" w:hAnsi="宋体"/>
                <w:szCs w:val="21"/>
              </w:rPr>
            </w:pPr>
            <w:r>
              <w:rPr>
                <w:rFonts w:hint="eastAsia" w:ascii="宋体" w:hAnsi="宋体"/>
                <w:szCs w:val="21"/>
              </w:rPr>
              <w:t>医生助手系统</w:t>
            </w:r>
          </w:p>
        </w:tc>
        <w:tc>
          <w:tcPr>
            <w:tcW w:w="1730" w:type="dxa"/>
            <w:vAlign w:val="center"/>
          </w:tcPr>
          <w:p>
            <w:pPr>
              <w:widowControl/>
              <w:spacing w:line="360" w:lineRule="auto"/>
              <w:jc w:val="center"/>
              <w:rPr>
                <w:rFonts w:ascii="宋体" w:hAnsi="宋体"/>
                <w:szCs w:val="21"/>
              </w:rPr>
            </w:pPr>
            <w:r>
              <w:rPr>
                <w:rFonts w:hint="eastAsia" w:ascii="宋体" w:hAnsi="宋体"/>
                <w:szCs w:val="21"/>
              </w:rPr>
              <w:t>1</w:t>
            </w:r>
          </w:p>
        </w:tc>
        <w:tc>
          <w:tcPr>
            <w:tcW w:w="1134" w:type="dxa"/>
            <w:vAlign w:val="center"/>
          </w:tcPr>
          <w:p>
            <w:pPr>
              <w:widowControl/>
              <w:spacing w:line="360" w:lineRule="auto"/>
              <w:jc w:val="center"/>
              <w:rPr>
                <w:rFonts w:ascii="宋体" w:hAnsi="宋体"/>
                <w:szCs w:val="21"/>
              </w:rPr>
            </w:pPr>
            <w:r>
              <w:rPr>
                <w:rFonts w:hint="eastAsia" w:ascii="宋体" w:hAnsi="宋体"/>
                <w:szCs w:val="21"/>
              </w:rPr>
              <w:t>项</w:t>
            </w:r>
          </w:p>
        </w:tc>
        <w:tc>
          <w:tcPr>
            <w:tcW w:w="1583" w:type="dxa"/>
          </w:tcPr>
          <w:p>
            <w:pPr>
              <w:spacing w:line="360" w:lineRule="auto"/>
              <w:jc w:val="center"/>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772" w:type="dxa"/>
            <w:vAlign w:val="center"/>
          </w:tcPr>
          <w:p>
            <w:pPr>
              <w:widowControl/>
              <w:spacing w:line="360" w:lineRule="auto"/>
              <w:jc w:val="center"/>
              <w:rPr>
                <w:rFonts w:ascii="宋体" w:hAnsi="宋体"/>
                <w:szCs w:val="21"/>
              </w:rPr>
            </w:pPr>
            <w:r>
              <w:rPr>
                <w:rFonts w:ascii="宋体" w:hAnsi="宋体"/>
                <w:szCs w:val="21"/>
              </w:rPr>
              <w:t>2</w:t>
            </w:r>
          </w:p>
        </w:tc>
        <w:tc>
          <w:tcPr>
            <w:tcW w:w="2851" w:type="dxa"/>
            <w:vAlign w:val="center"/>
          </w:tcPr>
          <w:p>
            <w:pPr>
              <w:widowControl/>
              <w:spacing w:line="360" w:lineRule="auto"/>
              <w:jc w:val="center"/>
              <w:rPr>
                <w:rFonts w:ascii="宋体" w:hAnsi="宋体"/>
                <w:szCs w:val="21"/>
              </w:rPr>
            </w:pPr>
            <w:r>
              <w:rPr>
                <w:rFonts w:hint="eastAsia" w:ascii="宋体" w:hAnsi="宋体"/>
                <w:szCs w:val="21"/>
              </w:rPr>
              <w:t>病案首页和清单数据质控系统</w:t>
            </w:r>
          </w:p>
        </w:tc>
        <w:tc>
          <w:tcPr>
            <w:tcW w:w="1730" w:type="dxa"/>
            <w:vAlign w:val="center"/>
          </w:tcPr>
          <w:p>
            <w:pPr>
              <w:widowControl/>
              <w:spacing w:line="360" w:lineRule="auto"/>
              <w:jc w:val="center"/>
              <w:rPr>
                <w:rFonts w:ascii="宋体" w:hAnsi="宋体"/>
                <w:szCs w:val="21"/>
              </w:rPr>
            </w:pPr>
            <w:r>
              <w:rPr>
                <w:rFonts w:hint="eastAsia" w:ascii="宋体" w:hAnsi="宋体"/>
                <w:szCs w:val="21"/>
              </w:rPr>
              <w:t>1</w:t>
            </w:r>
          </w:p>
        </w:tc>
        <w:tc>
          <w:tcPr>
            <w:tcW w:w="1134" w:type="dxa"/>
            <w:vAlign w:val="center"/>
          </w:tcPr>
          <w:p>
            <w:pPr>
              <w:widowControl/>
              <w:spacing w:line="360" w:lineRule="auto"/>
              <w:jc w:val="center"/>
              <w:rPr>
                <w:rFonts w:ascii="宋体" w:hAnsi="宋体"/>
                <w:szCs w:val="21"/>
              </w:rPr>
            </w:pPr>
            <w:r>
              <w:rPr>
                <w:rFonts w:hint="eastAsia" w:ascii="宋体" w:hAnsi="宋体"/>
                <w:szCs w:val="21"/>
              </w:rPr>
              <w:t>项</w:t>
            </w:r>
          </w:p>
        </w:tc>
        <w:tc>
          <w:tcPr>
            <w:tcW w:w="1583" w:type="dxa"/>
          </w:tcPr>
          <w:p>
            <w:pPr>
              <w:spacing w:line="360" w:lineRule="auto"/>
              <w:jc w:val="center"/>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772" w:type="dxa"/>
            <w:vAlign w:val="center"/>
          </w:tcPr>
          <w:p>
            <w:pPr>
              <w:widowControl/>
              <w:spacing w:line="360" w:lineRule="auto"/>
              <w:jc w:val="center"/>
              <w:rPr>
                <w:rFonts w:ascii="宋体" w:hAnsi="宋体"/>
                <w:szCs w:val="21"/>
              </w:rPr>
            </w:pPr>
            <w:r>
              <w:rPr>
                <w:rFonts w:ascii="宋体" w:hAnsi="宋体"/>
                <w:szCs w:val="21"/>
              </w:rPr>
              <w:t>3</w:t>
            </w:r>
          </w:p>
        </w:tc>
        <w:tc>
          <w:tcPr>
            <w:tcW w:w="2851" w:type="dxa"/>
            <w:vAlign w:val="center"/>
          </w:tcPr>
          <w:p>
            <w:pPr>
              <w:widowControl/>
              <w:spacing w:line="360" w:lineRule="auto"/>
              <w:jc w:val="center"/>
              <w:rPr>
                <w:rFonts w:ascii="宋体" w:hAnsi="宋体"/>
                <w:szCs w:val="21"/>
              </w:rPr>
            </w:pPr>
            <w:r>
              <w:rPr>
                <w:rFonts w:hint="eastAsia" w:ascii="宋体" w:hAnsi="宋体"/>
                <w:szCs w:val="21"/>
              </w:rPr>
              <w:t>医保结算分析管理系统</w:t>
            </w:r>
          </w:p>
        </w:tc>
        <w:tc>
          <w:tcPr>
            <w:tcW w:w="1730" w:type="dxa"/>
            <w:vAlign w:val="center"/>
          </w:tcPr>
          <w:p>
            <w:pPr>
              <w:widowControl/>
              <w:spacing w:line="360" w:lineRule="auto"/>
              <w:jc w:val="center"/>
              <w:rPr>
                <w:rFonts w:ascii="宋体" w:hAnsi="宋体"/>
                <w:szCs w:val="21"/>
              </w:rPr>
            </w:pPr>
            <w:r>
              <w:rPr>
                <w:rFonts w:hint="eastAsia" w:ascii="宋体" w:hAnsi="宋体"/>
                <w:szCs w:val="21"/>
              </w:rPr>
              <w:t>1</w:t>
            </w:r>
          </w:p>
        </w:tc>
        <w:tc>
          <w:tcPr>
            <w:tcW w:w="1134" w:type="dxa"/>
            <w:vAlign w:val="center"/>
          </w:tcPr>
          <w:p>
            <w:pPr>
              <w:widowControl/>
              <w:spacing w:line="360" w:lineRule="auto"/>
              <w:jc w:val="center"/>
              <w:rPr>
                <w:rFonts w:ascii="宋体" w:hAnsi="宋体"/>
                <w:szCs w:val="21"/>
              </w:rPr>
            </w:pPr>
            <w:r>
              <w:rPr>
                <w:rFonts w:hint="eastAsia" w:ascii="宋体" w:hAnsi="宋体"/>
                <w:szCs w:val="21"/>
              </w:rPr>
              <w:t>项</w:t>
            </w:r>
          </w:p>
        </w:tc>
        <w:tc>
          <w:tcPr>
            <w:tcW w:w="1583" w:type="dxa"/>
          </w:tcPr>
          <w:p>
            <w:pPr>
              <w:spacing w:line="360" w:lineRule="auto"/>
              <w:jc w:val="center"/>
              <w:rPr>
                <w:rFonts w:ascii="宋体" w:hAnsi="宋体"/>
                <w:color w:val="FF0000"/>
                <w:szCs w:val="21"/>
              </w:rPr>
            </w:pPr>
            <w:r>
              <w:rPr>
                <w:rFonts w:hint="eastAsia" w:ascii="宋体" w:hAnsi="宋体"/>
                <w:szCs w:val="21"/>
              </w:rPr>
              <w:t>无</w:t>
            </w:r>
          </w:p>
        </w:tc>
      </w:tr>
    </w:tbl>
    <w:p>
      <w:pPr>
        <w:keepNext w:val="0"/>
        <w:keepLines w:val="0"/>
        <w:widowControl/>
        <w:suppressLineNumbers w:val="0"/>
        <w:jc w:val="left"/>
        <w:rPr>
          <w:rFonts w:hint="eastAsia" w:ascii="宋体" w:hAnsi="宋体" w:eastAsia="宋体" w:cs="Times New Roman"/>
          <w:b/>
          <w:bCs/>
          <w:color w:val="auto"/>
          <w:kern w:val="2"/>
          <w:sz w:val="24"/>
          <w:szCs w:val="24"/>
          <w:lang w:val="en-US" w:eastAsia="zh-CN" w:bidi="ar-SA"/>
        </w:rPr>
      </w:pPr>
    </w:p>
    <w:p>
      <w:pPr>
        <w:keepNext w:val="0"/>
        <w:keepLines w:val="0"/>
        <w:widowControl/>
        <w:suppressLineNumbers w:val="0"/>
        <w:jc w:val="left"/>
        <w:rPr>
          <w:rFonts w:ascii="宋体" w:hAnsi="宋体" w:eastAsia="宋体" w:cs="Times New Roman"/>
          <w:b/>
          <w:bCs/>
          <w:color w:val="auto"/>
          <w:kern w:val="2"/>
          <w:sz w:val="24"/>
          <w:szCs w:val="24"/>
          <w:lang w:val="en-US" w:eastAsia="zh-CN" w:bidi="ar-SA"/>
        </w:rPr>
      </w:pPr>
      <w:r>
        <w:rPr>
          <w:rFonts w:hint="eastAsia" w:ascii="宋体" w:hAnsi="宋体" w:cs="Times New Roman"/>
          <w:b/>
          <w:bCs/>
          <w:color w:val="auto"/>
          <w:kern w:val="2"/>
          <w:sz w:val="24"/>
          <w:szCs w:val="24"/>
          <w:lang w:val="en-US" w:eastAsia="zh-CN" w:bidi="ar-SA"/>
        </w:rPr>
        <w:t>四</w:t>
      </w:r>
      <w:r>
        <w:rPr>
          <w:rFonts w:hint="eastAsia" w:ascii="宋体" w:hAnsi="宋体" w:eastAsia="宋体" w:cs="Times New Roman"/>
          <w:b/>
          <w:bCs/>
          <w:color w:val="auto"/>
          <w:kern w:val="2"/>
          <w:sz w:val="24"/>
          <w:szCs w:val="24"/>
          <w:lang w:val="en-US" w:eastAsia="zh-CN" w:bidi="ar-SA"/>
        </w:rPr>
        <w:t xml:space="preserve">、建设目标 </w:t>
      </w:r>
    </w:p>
    <w:p>
      <w:pPr>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color w:val="auto"/>
          <w:szCs w:val="21"/>
          <w:lang w:val="en-US" w:eastAsia="zh-CN"/>
        </w:rPr>
        <w:t>根据国家和安徽省的医保支</w:t>
      </w:r>
      <w:r>
        <w:rPr>
          <w:rFonts w:hint="eastAsia" w:ascii="宋体" w:hAnsi="宋体" w:eastAsia="宋体" w:cs="Times New Roman"/>
          <w:szCs w:val="21"/>
          <w:lang w:val="en-US" w:eastAsia="zh-CN"/>
        </w:rPr>
        <w:t xml:space="preserve">付方式改革，及安徽省卫生信息化建设相关的政策和文件精神要求，并结合医院的现状情况，本项目建设需完成以下建设目标： </w:t>
      </w:r>
    </w:p>
    <w:p>
      <w:pPr>
        <w:spacing w:line="360"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1. 通过 DRGs 数据治理服务的建模处理将临床医生使用的疾病诊断和手术操作诊断转化为医保 DRGs 支付政策所要求的 ICD-10 和 ICD-9-CM3，以减少病案室人工纠错率，提升医保费用获取率。 </w:t>
      </w:r>
    </w:p>
    <w:p>
      <w:pPr>
        <w:spacing w:line="360"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2. 可根据淮北市统筹区医保局返回的医保支付数据模拟分组器，在临床治疗过程中“事前提醒”，做到有效自身控制，避免事后（病人出院以及整个诊疗过程完成以后）来不及补救的现象，减少医院的事实性损失。 </w:t>
      </w:r>
    </w:p>
    <w:p>
      <w:pPr>
        <w:spacing w:line="360"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3. 实现病案首页诊断、编码等内容的自动校对功能。 </w:t>
      </w:r>
    </w:p>
    <w:p>
      <w:pPr>
        <w:spacing w:line="360"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4. 对病种入组率、完成率、平均住院费用、平均住院日等指标进行自动分析。 </w:t>
      </w:r>
    </w:p>
    <w:p>
      <w:pPr>
        <w:spacing w:line="360"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5. 在保障医疗质量的前提下，有效降低医疗成本，实现医院付费方式改革的信息化，给 DRGs 的推广提供有力支撑。 </w:t>
      </w:r>
    </w:p>
    <w:p>
      <w:pPr>
        <w:spacing w:line="360"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 为管理决策层提供经营决策的辅助依据，实现对医院运营情况及时监控，提前预判，从而优化资源配置，有效提高医务工作者的工作效率，提升医院整体经济效益。</w:t>
      </w:r>
    </w:p>
    <w:p>
      <w:pPr>
        <w:spacing w:line="360" w:lineRule="auto"/>
        <w:rPr>
          <w:rFonts w:ascii="Calibri" w:hAnsi="Calibri" w:eastAsia="宋体" w:cs="Times New Roman"/>
          <w:color w:val="0070C0"/>
          <w:kern w:val="2"/>
          <w:sz w:val="21"/>
          <w:szCs w:val="21"/>
          <w:lang w:val="en-US" w:eastAsia="zh-CN" w:bidi="ar-SA"/>
        </w:rPr>
      </w:pPr>
      <w:r>
        <w:rPr>
          <w:rFonts w:hint="eastAsia" w:ascii="宋体" w:hAnsi="宋体" w:eastAsia="宋体" w:cs="Times New Roman"/>
          <w:szCs w:val="21"/>
          <w:lang w:val="en-US" w:eastAsia="zh-CN"/>
        </w:rPr>
        <w:t>7. 提供医保结算校对功能（即：对医保局反馈回医院的每月的 DRGs 结算单数据进行核对），帮助医院医保部门减轻人工工作量，减少因为申诉不及时导致医院造成无谓损失的现象。</w:t>
      </w:r>
    </w:p>
    <w:p>
      <w:pPr>
        <w:keepNext w:val="0"/>
        <w:keepLines w:val="0"/>
        <w:widowControl/>
        <w:suppressLineNumbers w:val="0"/>
        <w:jc w:val="left"/>
      </w:pPr>
      <w:r>
        <w:rPr>
          <w:rFonts w:hint="eastAsia" w:ascii="宋体" w:hAnsi="宋体" w:cs="宋体"/>
          <w:b/>
          <w:bCs/>
          <w:color w:val="000000"/>
          <w:kern w:val="0"/>
          <w:sz w:val="24"/>
          <w:szCs w:val="24"/>
          <w:lang w:val="en-US" w:eastAsia="zh-CN" w:bidi="ar"/>
        </w:rPr>
        <w:t>五</w:t>
      </w:r>
      <w:r>
        <w:rPr>
          <w:rFonts w:hint="eastAsia" w:ascii="宋体" w:hAnsi="宋体" w:eastAsia="宋体" w:cs="宋体"/>
          <w:b/>
          <w:bCs/>
          <w:color w:val="000000"/>
          <w:kern w:val="0"/>
          <w:sz w:val="24"/>
          <w:szCs w:val="24"/>
          <w:lang w:val="en-US" w:eastAsia="zh-CN" w:bidi="ar"/>
        </w:rPr>
        <w:t>、</w:t>
      </w:r>
      <w:r>
        <w:rPr>
          <w:rFonts w:hint="eastAsia" w:ascii="宋体" w:hAnsi="宋体" w:cs="宋体"/>
          <w:b/>
          <w:bCs/>
          <w:color w:val="000000"/>
          <w:kern w:val="0"/>
          <w:sz w:val="24"/>
          <w:szCs w:val="24"/>
          <w:lang w:val="en-US" w:eastAsia="zh-CN" w:bidi="ar"/>
        </w:rPr>
        <w:t>建设内容概要</w:t>
      </w:r>
      <w:r>
        <w:rPr>
          <w:rFonts w:hint="eastAsia" w:ascii="宋体" w:hAnsi="宋体" w:eastAsia="宋体" w:cs="宋体"/>
          <w:b/>
          <w:bCs/>
          <w:color w:val="000000"/>
          <w:kern w:val="0"/>
          <w:sz w:val="24"/>
          <w:szCs w:val="24"/>
          <w:lang w:val="en-US" w:eastAsia="zh-CN" w:bidi="ar"/>
        </w:rPr>
        <w:t xml:space="preserve"> </w:t>
      </w:r>
    </w:p>
    <w:p>
      <w:pPr>
        <w:spacing w:line="360" w:lineRule="auto"/>
        <w:rPr>
          <w:rFonts w:ascii="宋体" w:hAnsi="宋体"/>
          <w:b/>
          <w:szCs w:val="21"/>
        </w:rPr>
      </w:pPr>
      <w:r>
        <w:rPr>
          <w:rFonts w:ascii="宋体" w:hAnsi="宋体"/>
          <w:b/>
          <w:szCs w:val="21"/>
        </w:rPr>
        <w:t>1</w:t>
      </w:r>
      <w:r>
        <w:rPr>
          <w:rFonts w:hint="eastAsia" w:ascii="宋体" w:hAnsi="宋体"/>
          <w:b/>
          <w:szCs w:val="21"/>
        </w:rPr>
        <w:t>.解决方案基础内容</w:t>
      </w:r>
    </w:p>
    <w:p>
      <w:pPr>
        <w:spacing w:line="360" w:lineRule="auto"/>
        <w:rPr>
          <w:rFonts w:ascii="宋体" w:hAnsi="宋体"/>
          <w:szCs w:val="21"/>
        </w:rPr>
      </w:pPr>
      <w:r>
        <w:rPr>
          <w:rFonts w:hint="eastAsia" w:ascii="宋体" w:hAnsi="宋体"/>
          <w:szCs w:val="21"/>
        </w:rPr>
        <w:t>（1）灵活部署，交互便捷；</w:t>
      </w:r>
    </w:p>
    <w:p>
      <w:pPr>
        <w:spacing w:line="360" w:lineRule="auto"/>
        <w:rPr>
          <w:rFonts w:ascii="宋体" w:hAnsi="宋体"/>
          <w:szCs w:val="21"/>
        </w:rPr>
      </w:pPr>
      <w:r>
        <w:rPr>
          <w:rFonts w:hint="eastAsia" w:ascii="宋体" w:hAnsi="宋体"/>
          <w:szCs w:val="21"/>
        </w:rPr>
        <w:t>（2）满足HQMS、DRG分组、首页书写规范、成本监测等数据质量要求；</w:t>
      </w:r>
    </w:p>
    <w:p>
      <w:pPr>
        <w:spacing w:line="360" w:lineRule="auto"/>
        <w:rPr>
          <w:rFonts w:ascii="宋体" w:hAnsi="宋体"/>
          <w:szCs w:val="21"/>
        </w:rPr>
      </w:pPr>
      <w:r>
        <w:rPr>
          <w:rFonts w:hint="eastAsia" w:ascii="宋体" w:hAnsi="宋体"/>
          <w:szCs w:val="21"/>
        </w:rPr>
        <w:t>（3）可嵌入到院内系统，从源头保证数据质量；</w:t>
      </w:r>
    </w:p>
    <w:p>
      <w:pPr>
        <w:spacing w:line="360" w:lineRule="auto"/>
        <w:rPr>
          <w:rFonts w:ascii="宋体" w:hAnsi="宋体"/>
          <w:szCs w:val="21"/>
        </w:rPr>
      </w:pPr>
      <w:r>
        <w:rPr>
          <w:rFonts w:hint="eastAsia" w:ascii="宋体" w:hAnsi="宋体"/>
          <w:szCs w:val="21"/>
        </w:rPr>
        <w:t>（4）质控校验：全面梳理四大类质控规则，从四个角度重点点评首页质量，保证数据质量。</w:t>
      </w:r>
    </w:p>
    <w:p>
      <w:pPr>
        <w:spacing w:line="360" w:lineRule="auto"/>
        <w:rPr>
          <w:rFonts w:ascii="宋体" w:hAnsi="宋体"/>
          <w:b/>
          <w:szCs w:val="21"/>
        </w:rPr>
      </w:pPr>
      <w:r>
        <w:rPr>
          <w:rFonts w:hint="eastAsia" w:ascii="宋体" w:hAnsi="宋体"/>
          <w:b/>
          <w:szCs w:val="21"/>
        </w:rPr>
        <w:t>2系统架构说明</w:t>
      </w:r>
    </w:p>
    <w:p>
      <w:pPr>
        <w:spacing w:line="360" w:lineRule="auto"/>
        <w:rPr>
          <w:rFonts w:ascii="宋体" w:hAnsi="宋体"/>
          <w:b w:val="0"/>
          <w:bCs/>
          <w:szCs w:val="21"/>
        </w:rPr>
      </w:pPr>
      <w:r>
        <w:rPr>
          <w:rFonts w:hint="eastAsia" w:ascii="宋体" w:hAnsi="宋体"/>
          <w:b w:val="0"/>
          <w:bCs/>
          <w:szCs w:val="21"/>
        </w:rPr>
        <w:t>（1）系统</w:t>
      </w:r>
    </w:p>
    <w:p>
      <w:pPr>
        <w:spacing w:line="360" w:lineRule="auto"/>
        <w:ind w:firstLine="420" w:firstLineChars="200"/>
        <w:rPr>
          <w:rFonts w:ascii="宋体" w:hAnsi="宋体"/>
          <w:b w:val="0"/>
          <w:bCs/>
          <w:szCs w:val="21"/>
        </w:rPr>
      </w:pPr>
      <w:r>
        <w:rPr>
          <w:rFonts w:hint="eastAsia" w:ascii="宋体" w:hAnsi="宋体"/>
          <w:b w:val="0"/>
          <w:bCs/>
          <w:szCs w:val="21"/>
        </w:rPr>
        <w:t>系统采用B/S或C/S的分布式架构；</w:t>
      </w:r>
    </w:p>
    <w:p>
      <w:pPr>
        <w:spacing w:line="360" w:lineRule="auto"/>
        <w:rPr>
          <w:rFonts w:ascii="宋体" w:hAnsi="宋体"/>
          <w:b w:val="0"/>
          <w:bCs/>
          <w:szCs w:val="21"/>
        </w:rPr>
      </w:pPr>
      <w:r>
        <w:rPr>
          <w:rFonts w:hint="eastAsia" w:ascii="宋体" w:hAnsi="宋体"/>
          <w:b w:val="0"/>
          <w:bCs/>
          <w:szCs w:val="21"/>
        </w:rPr>
        <w:t>（2）数据库</w:t>
      </w:r>
    </w:p>
    <w:p>
      <w:pPr>
        <w:spacing w:line="360" w:lineRule="auto"/>
        <w:ind w:firstLine="420" w:firstLineChars="200"/>
        <w:rPr>
          <w:rFonts w:ascii="宋体" w:hAnsi="宋体"/>
          <w:b w:val="0"/>
          <w:bCs/>
          <w:szCs w:val="21"/>
        </w:rPr>
      </w:pPr>
      <w:r>
        <w:rPr>
          <w:rFonts w:hint="eastAsia" w:ascii="宋体" w:hAnsi="宋体"/>
          <w:b w:val="0"/>
          <w:bCs/>
          <w:szCs w:val="21"/>
        </w:rPr>
        <w:t>采用Mysql</w:t>
      </w:r>
      <w:r>
        <w:rPr>
          <w:rFonts w:ascii="宋体" w:hAnsi="宋体"/>
          <w:b w:val="0"/>
          <w:bCs/>
          <w:szCs w:val="21"/>
        </w:rPr>
        <w:t>/</w:t>
      </w:r>
      <w:r>
        <w:rPr>
          <w:rFonts w:hint="eastAsia" w:ascii="宋体" w:hAnsi="宋体"/>
          <w:b w:val="0"/>
          <w:bCs/>
          <w:szCs w:val="21"/>
        </w:rPr>
        <w:t>SQL SERVER/Oragle等关系型数据库，采用应急机制，采用分表分库、读写分离等框架实现自由扩展；</w:t>
      </w:r>
    </w:p>
    <w:p>
      <w:pPr>
        <w:spacing w:line="360" w:lineRule="auto"/>
        <w:rPr>
          <w:rFonts w:ascii="宋体" w:hAnsi="宋体"/>
          <w:b w:val="0"/>
          <w:bCs/>
          <w:szCs w:val="21"/>
        </w:rPr>
      </w:pPr>
      <w:r>
        <w:rPr>
          <w:rFonts w:hint="eastAsia" w:ascii="宋体" w:hAnsi="宋体"/>
          <w:b w:val="0"/>
          <w:bCs/>
          <w:szCs w:val="21"/>
        </w:rPr>
        <w:t>（3）中间件</w:t>
      </w:r>
    </w:p>
    <w:p>
      <w:pPr>
        <w:spacing w:line="360" w:lineRule="auto"/>
        <w:ind w:firstLine="420" w:firstLineChars="200"/>
        <w:rPr>
          <w:rFonts w:ascii="宋体" w:hAnsi="宋体"/>
          <w:b w:val="0"/>
          <w:bCs/>
          <w:szCs w:val="21"/>
        </w:rPr>
      </w:pPr>
      <w:r>
        <w:rPr>
          <w:rFonts w:hint="eastAsia" w:ascii="宋体" w:hAnsi="宋体"/>
          <w:b w:val="0"/>
          <w:bCs/>
          <w:szCs w:val="21"/>
        </w:rPr>
        <w:t>采用Redis缓存数据库或MQ消息队列，实现数据缓存和消息分发，能应对高并发高性能高可用性；可利用Nginx等容器实现负载均衡及页面分离，便于后期维护；</w:t>
      </w:r>
    </w:p>
    <w:p>
      <w:pPr>
        <w:spacing w:line="360" w:lineRule="auto"/>
        <w:rPr>
          <w:rFonts w:ascii="宋体" w:hAnsi="宋体"/>
          <w:b w:val="0"/>
          <w:bCs/>
          <w:szCs w:val="21"/>
        </w:rPr>
      </w:pPr>
      <w:r>
        <w:rPr>
          <w:rFonts w:hint="eastAsia" w:ascii="宋体" w:hAnsi="宋体"/>
          <w:b w:val="0"/>
          <w:bCs/>
          <w:szCs w:val="21"/>
        </w:rPr>
        <w:t>（4）Web应用服务器软件</w:t>
      </w:r>
    </w:p>
    <w:p>
      <w:pPr>
        <w:spacing w:line="360" w:lineRule="auto"/>
        <w:ind w:firstLine="420" w:firstLineChars="200"/>
        <w:rPr>
          <w:rFonts w:ascii="宋体" w:hAnsi="宋体"/>
          <w:b w:val="0"/>
          <w:bCs/>
          <w:szCs w:val="21"/>
        </w:rPr>
      </w:pPr>
      <w:r>
        <w:rPr>
          <w:rFonts w:hint="eastAsia" w:ascii="宋体" w:hAnsi="宋体"/>
          <w:b w:val="0"/>
          <w:bCs/>
          <w:szCs w:val="21"/>
        </w:rPr>
        <w:t>提供数据接口服务，用户角色权限服务，站内日志服务与应用主服务，采用SSO单点登录支持第三方系统的接入，采用dubbo等分布式高扩展性框架，支持高达2000并发；</w:t>
      </w:r>
    </w:p>
    <w:p>
      <w:pPr>
        <w:spacing w:line="360" w:lineRule="auto"/>
        <w:rPr>
          <w:rFonts w:ascii="宋体" w:hAnsi="宋体"/>
          <w:b w:val="0"/>
          <w:bCs/>
          <w:szCs w:val="21"/>
        </w:rPr>
      </w:pPr>
      <w:r>
        <w:rPr>
          <w:rFonts w:hint="eastAsia" w:ascii="宋体" w:hAnsi="宋体"/>
          <w:b w:val="0"/>
          <w:bCs/>
          <w:szCs w:val="21"/>
        </w:rPr>
        <w:t>（5）持久化存储</w:t>
      </w:r>
    </w:p>
    <w:p>
      <w:pPr>
        <w:spacing w:line="360" w:lineRule="auto"/>
        <w:ind w:firstLine="420" w:firstLineChars="200"/>
        <w:rPr>
          <w:rFonts w:ascii="宋体" w:hAnsi="宋体"/>
          <w:szCs w:val="21"/>
        </w:rPr>
      </w:pPr>
      <w:r>
        <w:rPr>
          <w:rFonts w:hint="eastAsia" w:ascii="宋体" w:hAnsi="宋体"/>
          <w:b w:val="0"/>
          <w:bCs/>
          <w:szCs w:val="21"/>
        </w:rPr>
        <w:t>系统数据持久化存储在</w:t>
      </w:r>
      <w:r>
        <w:rPr>
          <w:rFonts w:hint="eastAsia" w:ascii="宋体" w:hAnsi="宋体"/>
          <w:szCs w:val="21"/>
        </w:rPr>
        <w:t>本地数据库，也可以根据需要存储在云端；</w:t>
      </w:r>
    </w:p>
    <w:p>
      <w:pPr>
        <w:pStyle w:val="5"/>
        <w:jc w:val="both"/>
      </w:pPr>
      <w:r>
        <w:rPr>
          <w:rFonts w:hint="eastAsia" w:cs="宋体"/>
          <w:b/>
          <w:bCs/>
          <w:color w:val="000000"/>
          <w:kern w:val="0"/>
          <w:sz w:val="24"/>
          <w:szCs w:val="24"/>
          <w:lang w:val="en-US" w:eastAsia="zh-CN" w:bidi="ar"/>
        </w:rPr>
        <w:t>六</w:t>
      </w:r>
      <w:r>
        <w:rPr>
          <w:rFonts w:hint="eastAsia" w:ascii="宋体" w:hAnsi="宋体" w:eastAsia="宋体" w:cs="宋体"/>
          <w:b/>
          <w:bCs/>
          <w:color w:val="000000"/>
          <w:kern w:val="0"/>
          <w:sz w:val="24"/>
          <w:szCs w:val="24"/>
          <w:lang w:val="en-US" w:eastAsia="zh-CN" w:bidi="ar"/>
        </w:rPr>
        <w:t>、项目建设具体</w:t>
      </w:r>
      <w:r>
        <w:rPr>
          <w:rFonts w:hint="eastAsia" w:ascii="宋体" w:hAnsi="宋体" w:cs="宋体"/>
          <w:b/>
          <w:bCs/>
          <w:color w:val="000000"/>
          <w:kern w:val="0"/>
          <w:sz w:val="24"/>
          <w:szCs w:val="24"/>
          <w:lang w:val="en-US" w:eastAsia="zh-CN" w:bidi="ar"/>
        </w:rPr>
        <w:t>内容</w:t>
      </w:r>
    </w:p>
    <w:p>
      <w:pPr>
        <w:spacing w:line="360" w:lineRule="auto"/>
        <w:rPr>
          <w:rFonts w:ascii="宋体" w:hAnsi="宋体"/>
          <w:b/>
        </w:rPr>
      </w:pPr>
      <w:r>
        <w:rPr>
          <w:rFonts w:ascii="宋体" w:hAnsi="宋体"/>
          <w:b/>
        </w:rPr>
        <w:t>1</w:t>
      </w:r>
      <w:r>
        <w:rPr>
          <w:rFonts w:hint="eastAsia" w:ascii="宋体" w:hAnsi="宋体"/>
          <w:b/>
          <w:lang w:val="en-US" w:eastAsia="zh-CN"/>
        </w:rPr>
        <w:t>.</w:t>
      </w:r>
      <w:r>
        <w:rPr>
          <w:rFonts w:hint="eastAsia" w:ascii="宋体" w:hAnsi="宋体"/>
          <w:b/>
        </w:rPr>
        <w:t>医生助手系统</w:t>
      </w:r>
    </w:p>
    <w:p>
      <w:pPr>
        <w:spacing w:line="360" w:lineRule="auto"/>
        <w:ind w:firstLine="420" w:firstLineChars="200"/>
        <w:rPr>
          <w:rFonts w:ascii="宋体" w:hAnsi="宋体"/>
        </w:rPr>
      </w:pPr>
      <w:r>
        <w:rPr>
          <w:rFonts w:hint="eastAsia" w:ascii="宋体" w:hAnsi="宋体"/>
        </w:rPr>
        <w:t>医生助手系统主要为医生以及编码员赋能，获得高质量的医疗数据，并满足HQMS、首页书写规范、DRG分组数据质量要求。其功能主要包括：</w:t>
      </w:r>
    </w:p>
    <w:p>
      <w:pPr>
        <w:spacing w:line="360" w:lineRule="auto"/>
        <w:ind w:firstLine="420" w:firstLineChars="200"/>
        <w:rPr>
          <w:rFonts w:ascii="宋体" w:hAnsi="宋体"/>
        </w:rPr>
      </w:pPr>
      <w:r>
        <w:rPr>
          <w:rFonts w:hint="eastAsia" w:ascii="宋体" w:hAnsi="宋体"/>
        </w:rPr>
        <w:t>（1）医生端实时服务</w:t>
      </w:r>
    </w:p>
    <w:p>
      <w:pPr>
        <w:spacing w:line="360" w:lineRule="auto"/>
        <w:ind w:firstLine="420" w:firstLineChars="200"/>
        <w:rPr>
          <w:rFonts w:ascii="宋体" w:hAnsi="宋体"/>
        </w:rPr>
      </w:pPr>
      <w:r>
        <w:rPr>
          <w:rFonts w:hint="eastAsia" w:ascii="宋体" w:hAnsi="宋体"/>
        </w:rPr>
        <w:t>1）医生端实时质控：支持与HIS、EMR等院内系统对接，在临床医生填写病案首页环节即提供实时质控服务，参照DRG分组原则、HQMS上报要求及病案首页填报要求，实现实时提醒和智能质控结果反馈。可自定义前端内容展示模式。</w:t>
      </w:r>
    </w:p>
    <w:p>
      <w:pPr>
        <w:spacing w:line="360" w:lineRule="auto"/>
        <w:ind w:firstLine="420" w:firstLineChars="200"/>
        <w:rPr>
          <w:rFonts w:ascii="宋体" w:hAnsi="宋体"/>
        </w:rPr>
      </w:pPr>
      <w:r>
        <w:rPr>
          <w:rFonts w:hint="eastAsia" w:ascii="宋体" w:hAnsi="宋体"/>
        </w:rPr>
        <w:t>2）大数据预分组：调用大数据分组服务，在入院诊断时即提示入组及费用信息，进行费用预警。可自定义分组结果字段的前端展示，包括预分组名称、预分组编码、标准费用、医疗总费用、收入变化、有效收入、费用占比等。</w:t>
      </w:r>
    </w:p>
    <w:p>
      <w:pPr>
        <w:spacing w:line="360" w:lineRule="auto"/>
        <w:ind w:firstLine="420" w:firstLineChars="200"/>
        <w:rPr>
          <w:rFonts w:ascii="宋体" w:hAnsi="宋体"/>
        </w:rPr>
      </w:pPr>
      <w:r>
        <w:rPr>
          <w:rFonts w:hint="eastAsia" w:ascii="宋体" w:hAnsi="宋体"/>
        </w:rPr>
        <w:t>3）分组推荐: 根据出院主要诊断、手术操作编码对当前病案预分组推荐，供医师参考，通过系统推荐的分组调整方案进行调整诊断和手术操作入到不同分组。</w:t>
      </w:r>
    </w:p>
    <w:p>
      <w:pPr>
        <w:spacing w:line="360" w:lineRule="auto"/>
        <w:ind w:firstLine="420" w:firstLineChars="200"/>
        <w:rPr>
          <w:rFonts w:ascii="宋体" w:hAnsi="宋体"/>
        </w:rPr>
      </w:pPr>
      <w:r>
        <w:rPr>
          <w:rFonts w:hint="eastAsia" w:ascii="宋体" w:hAnsi="宋体"/>
        </w:rPr>
        <w:t>4）智能编码: 针对任意医学表达，进行解剖部位、术式路入等诊断或手术特征识别后，通过自然语义理解进行次序重构和深度检索，实现ICD智能编码。ICD版本支持地方和国家管理版本需要。系统支持区分诊断、手术操作、肿瘤形态学、损伤病毒原因等不同编码类别，且结合病案首页填写规范、DRG分组方案等官方文件要求，对诊断编码的使用推荐度进行标识。</w:t>
      </w:r>
    </w:p>
    <w:p>
      <w:pPr>
        <w:spacing w:line="360" w:lineRule="auto"/>
        <w:ind w:firstLine="420" w:firstLineChars="200"/>
        <w:rPr>
          <w:rFonts w:ascii="宋体" w:hAnsi="宋体"/>
        </w:rPr>
      </w:pPr>
      <w:r>
        <w:rPr>
          <w:rFonts w:hint="eastAsia" w:ascii="宋体" w:hAnsi="宋体"/>
        </w:rPr>
        <w:t>5）质控规则引擎: 按照《病案信息学第二版》、《疾病和有关健康问题的国际统计分类》第十次修订（ICD-10）、《国际疾病分类ICD-9-CM-3》2011修订版、《病案首页数据质量管理与控制指标》2021版、《绩效考核与医疗质量管理住院病案首页数据采集质量与接口标准(2020年）》、《住院病案首页数据填写质量规范（暂行）》2016版、《国家医疗保障疾病诊断相关分组(CHS-DRG) 细分组方案》、标准规范制定相应规则及配套知识点，形成高可信度、适用于病案首页的规则引擎，提升医院纠错能力，辅助正确、合理入组，保障数据上传准确。</w:t>
      </w:r>
    </w:p>
    <w:p>
      <w:pPr>
        <w:spacing w:line="360" w:lineRule="auto"/>
        <w:ind w:firstLine="420" w:firstLineChars="200"/>
        <w:rPr>
          <w:rFonts w:ascii="宋体" w:hAnsi="宋体"/>
        </w:rPr>
      </w:pPr>
      <w:r>
        <w:rPr>
          <w:rFonts w:hint="eastAsia" w:ascii="宋体" w:hAnsi="宋体"/>
        </w:rPr>
        <w:t>（2）医生端协作管理</w:t>
      </w:r>
    </w:p>
    <w:p>
      <w:pPr>
        <w:spacing w:line="360" w:lineRule="auto"/>
        <w:ind w:firstLine="420" w:firstLineChars="200"/>
        <w:rPr>
          <w:rFonts w:ascii="宋体" w:hAnsi="宋体"/>
        </w:rPr>
      </w:pPr>
      <w:r>
        <w:rPr>
          <w:rFonts w:hint="eastAsia" w:ascii="宋体" w:hAnsi="宋体"/>
        </w:rPr>
        <w:t>1）缺陷病案管理: 临床医生可查看与其相关的存在质控缺陷的病案，支持查看病案质控详情，以定位问题。临床医生可以对缺陷病案进行再次修改、质控等操作，并重新提交至病案科进行审核归档。</w:t>
      </w:r>
    </w:p>
    <w:p>
      <w:pPr>
        <w:spacing w:line="360" w:lineRule="auto"/>
        <w:ind w:firstLine="420" w:firstLineChars="200"/>
        <w:rPr>
          <w:rFonts w:ascii="宋体" w:hAnsi="宋体"/>
        </w:rPr>
      </w:pPr>
      <w:r>
        <w:rPr>
          <w:rFonts w:hint="eastAsia" w:ascii="宋体" w:hAnsi="宋体"/>
        </w:rPr>
        <w:t>2）请求日志查看: 支持查看日志，内容包括病案号、状态、住院次数、姓名、科室、请求时间和操作等，用以定位、排查数据请求失败的问题。</w:t>
      </w:r>
    </w:p>
    <w:p>
      <w:pPr>
        <w:spacing w:line="360" w:lineRule="auto"/>
        <w:rPr>
          <w:rFonts w:ascii="宋体" w:hAnsi="宋体"/>
          <w:b/>
        </w:rPr>
      </w:pPr>
      <w:r>
        <w:rPr>
          <w:rFonts w:ascii="宋体" w:hAnsi="宋体"/>
          <w:b/>
        </w:rPr>
        <w:t>2</w:t>
      </w:r>
      <w:r>
        <w:rPr>
          <w:rFonts w:hint="eastAsia" w:ascii="宋体" w:hAnsi="宋体"/>
          <w:b/>
          <w:lang w:val="en-US" w:eastAsia="zh-CN"/>
        </w:rPr>
        <w:t>.</w:t>
      </w:r>
      <w:r>
        <w:rPr>
          <w:rFonts w:hint="eastAsia" w:ascii="宋体" w:hAnsi="宋体"/>
          <w:b/>
        </w:rPr>
        <w:t>病案首页和清单数据质控系统</w:t>
      </w:r>
    </w:p>
    <w:p>
      <w:pPr>
        <w:spacing w:line="360" w:lineRule="auto"/>
        <w:ind w:firstLine="420" w:firstLineChars="200"/>
        <w:rPr>
          <w:rFonts w:ascii="宋体" w:hAnsi="宋体"/>
        </w:rPr>
      </w:pPr>
      <w:r>
        <w:rPr>
          <w:rFonts w:hint="eastAsia" w:ascii="宋体" w:hAnsi="宋体"/>
        </w:rPr>
        <w:t>对医院病案首页进行全方面的审核和分析，规范病案首页填写标准，提高病案首页的书写质量，其主要功能包括：</w:t>
      </w:r>
    </w:p>
    <w:p>
      <w:pPr>
        <w:spacing w:line="360" w:lineRule="auto"/>
        <w:ind w:firstLine="420" w:firstLineChars="200"/>
        <w:rPr>
          <w:rFonts w:ascii="宋体" w:hAnsi="宋体"/>
        </w:rPr>
      </w:pPr>
      <w:r>
        <w:rPr>
          <w:rFonts w:hint="eastAsia" w:ascii="宋体" w:hAnsi="宋体"/>
        </w:rPr>
        <w:t>（1）病案首页数据质控</w:t>
      </w:r>
    </w:p>
    <w:p>
      <w:pPr>
        <w:spacing w:line="360" w:lineRule="auto"/>
        <w:ind w:firstLine="420" w:firstLineChars="200"/>
        <w:rPr>
          <w:rFonts w:ascii="宋体" w:hAnsi="宋体"/>
        </w:rPr>
      </w:pPr>
      <w:r>
        <w:rPr>
          <w:rFonts w:hint="eastAsia" w:ascii="宋体" w:hAnsi="宋体"/>
        </w:rPr>
        <w:t>1）数据治理：支持接口、视图、本地文件上传等多种方式自动或手动传输病案首页数据，支持多种数据标准，包括HQMS、公立医院绩效考核、卫统直报、病案首页、医保结算清单等。数据入库成功后，系统自动进行病案质控。</w:t>
      </w:r>
    </w:p>
    <w:p>
      <w:pPr>
        <w:spacing w:line="360" w:lineRule="auto"/>
        <w:ind w:firstLine="420" w:firstLineChars="200"/>
        <w:rPr>
          <w:rFonts w:ascii="宋体" w:hAnsi="宋体"/>
        </w:rPr>
      </w:pPr>
      <w:r>
        <w:rPr>
          <w:rFonts w:hint="eastAsia" w:ascii="宋体" w:hAnsi="宋体"/>
        </w:rPr>
        <w:t>2）质控规则引擎：按照《病案信息学第二版》、《疾病和有关健康问题的国际统计分类》第十次修订（ICD-10）、《国际疾病分类ICD-9-CM-3》2011修订版、《病案首页数据质量管理与控制指标》2021版、《绩效考核与医疗质量管理住院病案首页数据采集质量与接口标准(2020年）》、《住院病案首页数据填写质量规范（暂行）》2016版、《国家医疗保障疾病诊断相关分组(CHS-DRG) 细分组方案》、标准规范制定相应规则及配套知识点，形成高可信度、适用于病案首页的规则引擎，提升医院纠错能力，辅助正确、合理入组，保障数据上传准确。</w:t>
      </w:r>
    </w:p>
    <w:p>
      <w:pPr>
        <w:spacing w:line="360" w:lineRule="auto"/>
        <w:ind w:firstLine="420" w:firstLineChars="200"/>
        <w:rPr>
          <w:rFonts w:ascii="宋体" w:hAnsi="宋体"/>
        </w:rPr>
      </w:pPr>
      <w:r>
        <w:rPr>
          <w:rFonts w:hint="eastAsia" w:ascii="宋体" w:hAnsi="宋体"/>
        </w:rPr>
        <w:t>3）病案预分组：病案首页数据入库成功后，系统自动调用大数据分组服务，依据出院诊断及手术操作等进行DRG入组结果判断，提示诊断顺序正确性、风险情况、收入变化等信息。</w:t>
      </w:r>
    </w:p>
    <w:p>
      <w:pPr>
        <w:spacing w:line="360" w:lineRule="auto"/>
        <w:ind w:firstLine="420" w:firstLineChars="200"/>
        <w:rPr>
          <w:rFonts w:ascii="宋体" w:hAnsi="宋体"/>
        </w:rPr>
      </w:pPr>
      <w:r>
        <w:rPr>
          <w:rFonts w:hint="eastAsia" w:ascii="宋体" w:hAnsi="宋体"/>
        </w:rPr>
        <w:t>4）人工审核：调用质控规则引擎实现病案首页自动校验，根据《住院病案首页数据质量管理与控制指标》2016版要求对病案首页进行质量评分。</w:t>
      </w:r>
    </w:p>
    <w:p>
      <w:pPr>
        <w:spacing w:line="360" w:lineRule="auto"/>
        <w:ind w:firstLine="420" w:firstLineChars="200"/>
        <w:rPr>
          <w:rFonts w:ascii="宋体" w:hAnsi="宋体"/>
        </w:rPr>
      </w:pPr>
      <w:r>
        <w:rPr>
          <w:rFonts w:hint="eastAsia" w:ascii="宋体" w:hAnsi="宋体"/>
        </w:rPr>
        <w:t>支持配置不同角色在线人工审核，支持配置用户审核不同科室病案，病案支持新增、撤销质控问题或将病案退回临床医师，支持病案重复提交后再审核，实现机审-初审-复审三级质控及不同科室协作，进一步提高病案首页的质量。</w:t>
      </w:r>
    </w:p>
    <w:p>
      <w:pPr>
        <w:spacing w:line="360" w:lineRule="auto"/>
        <w:ind w:firstLine="420" w:firstLineChars="200"/>
        <w:rPr>
          <w:rFonts w:ascii="宋体" w:hAnsi="宋体"/>
        </w:rPr>
      </w:pPr>
      <w:r>
        <w:rPr>
          <w:rFonts w:hint="eastAsia" w:ascii="宋体" w:hAnsi="宋体"/>
        </w:rPr>
        <w:t>5）病案风险排查及审核：对存在风险的病案进行全面排查、标识，并可追踪到个案；支持查看当前病案历史所有的审核记录、修改记录，包括操作人员、审核时间、质控问题等，便于快速追溯定位问题；支持病案编码人员/质控人员对病案进行审核完成或推回临床操作。</w:t>
      </w:r>
    </w:p>
    <w:p>
      <w:pPr>
        <w:spacing w:line="360" w:lineRule="auto"/>
        <w:ind w:firstLine="420" w:firstLineChars="200"/>
        <w:rPr>
          <w:rFonts w:ascii="宋体" w:hAnsi="宋体"/>
        </w:rPr>
      </w:pPr>
      <w:r>
        <w:rPr>
          <w:rFonts w:hint="eastAsia" w:ascii="宋体" w:hAnsi="宋体"/>
        </w:rPr>
        <w:t>6）分组推荐：对于质控存在风险的病案，系统提供整改建议，根据出院主要诊断、手术操作编码等关键信息对当前病案首页进行DRG预分组推荐，通过系统推荐的分组调整方案进行调整诊断和手术操作入到不同分组，同时对推荐所入组风险进行标识。</w:t>
      </w:r>
    </w:p>
    <w:p>
      <w:pPr>
        <w:spacing w:line="360" w:lineRule="auto"/>
        <w:ind w:firstLine="420" w:firstLineChars="200"/>
        <w:rPr>
          <w:rFonts w:ascii="宋体" w:hAnsi="宋体"/>
        </w:rPr>
      </w:pPr>
      <w:r>
        <w:rPr>
          <w:rFonts w:hint="eastAsia" w:ascii="宋体" w:hAnsi="宋体"/>
        </w:rPr>
        <w:t>7）在线编辑：支持在病案首页审核过程中进行在线编辑，支持调整诊断行、手术行进行排序，特别是调整主诊、第一手术的选择，编辑后可即时质控分组。</w:t>
      </w:r>
    </w:p>
    <w:p>
      <w:pPr>
        <w:spacing w:line="360" w:lineRule="auto"/>
        <w:ind w:firstLine="420" w:firstLineChars="200"/>
        <w:rPr>
          <w:rFonts w:ascii="宋体" w:hAnsi="宋体"/>
        </w:rPr>
      </w:pPr>
      <w:r>
        <w:rPr>
          <w:rFonts w:hint="eastAsia" w:ascii="宋体" w:hAnsi="宋体"/>
        </w:rPr>
        <w:t>8）智能编码：针对任意医学表达，进行解剖部位、术式路入等诊断或手术特征识别后，通过自然语义理解进行次序重构和深度检索，实现ICD智能编码。ICD版本支持地方和国家管理版本需要。系统支持区分诊断、手术操作、肿瘤形态学、损伤病毒原因等不同编码类别，且结合病案首页填写规范、DRG分组方案等官方文件要求，对诊断编码的使用推荐度进行标识。</w:t>
      </w:r>
    </w:p>
    <w:p>
      <w:pPr>
        <w:spacing w:line="360" w:lineRule="auto"/>
        <w:ind w:firstLine="420" w:firstLineChars="200"/>
        <w:rPr>
          <w:rFonts w:ascii="宋体" w:hAnsi="宋体"/>
        </w:rPr>
      </w:pPr>
      <w:r>
        <w:rPr>
          <w:rFonts w:ascii="宋体" w:hAnsi="宋体"/>
        </w:rPr>
        <w:t>9</w:t>
      </w:r>
      <w:r>
        <w:rPr>
          <w:rFonts w:hint="eastAsia" w:ascii="宋体" w:hAnsi="宋体"/>
        </w:rPr>
        <w:t>）数据留痕：所有审核、操作留痕、可查，包括审核记录、评分记录、修改记录等，为质量改进提供数据资料。</w:t>
      </w:r>
    </w:p>
    <w:p>
      <w:pPr>
        <w:spacing w:line="360" w:lineRule="auto"/>
        <w:ind w:firstLine="420" w:firstLineChars="200"/>
        <w:rPr>
          <w:rFonts w:ascii="宋体" w:hAnsi="宋体"/>
        </w:rPr>
      </w:pPr>
      <w:r>
        <w:rPr>
          <w:rFonts w:hint="eastAsia" w:ascii="宋体" w:hAnsi="宋体"/>
        </w:rPr>
        <w:t>1</w:t>
      </w:r>
      <w:r>
        <w:rPr>
          <w:rFonts w:ascii="宋体" w:hAnsi="宋体"/>
        </w:rPr>
        <w:t>0</w:t>
      </w:r>
      <w:r>
        <w:rPr>
          <w:rFonts w:hint="eastAsia" w:ascii="宋体" w:hAnsi="宋体"/>
        </w:rPr>
        <w:t>）病例监测：病案科在审核过程中可将存在缺陷、需要临床医生参与修改的病案推回临床。可通过病例监测，跟踪所有推回临床医师的缺陷病案的处理情况、查看最新病案首页详情，满足病案质控人员与临床医师工作协作需求。</w:t>
      </w:r>
    </w:p>
    <w:p>
      <w:pPr>
        <w:spacing w:line="360" w:lineRule="auto"/>
        <w:ind w:firstLine="420" w:firstLineChars="200"/>
        <w:rPr>
          <w:rFonts w:ascii="宋体" w:hAnsi="宋体"/>
        </w:rPr>
      </w:pPr>
      <w:r>
        <w:rPr>
          <w:rFonts w:hint="eastAsia" w:ascii="宋体" w:hAnsi="宋体"/>
        </w:rPr>
        <w:t>1</w:t>
      </w:r>
      <w:r>
        <w:rPr>
          <w:rFonts w:ascii="宋体" w:hAnsi="宋体"/>
        </w:rPr>
        <w:t>1</w:t>
      </w:r>
      <w:r>
        <w:rPr>
          <w:rFonts w:hint="eastAsia" w:ascii="宋体" w:hAnsi="宋体"/>
        </w:rPr>
        <w:t>）病案查询：提供所有状态的病案首页的查询功能，查询条件丰富，包括出院时间、医疗付费方式、主要诊断、入组情况、风险类型、15天内再入院等，可查看病案详情，支持导出审核结果。</w:t>
      </w:r>
    </w:p>
    <w:p>
      <w:pPr>
        <w:spacing w:line="360" w:lineRule="auto"/>
        <w:ind w:firstLine="420" w:firstLineChars="200"/>
        <w:rPr>
          <w:rFonts w:ascii="宋体" w:hAnsi="宋体"/>
        </w:rPr>
      </w:pPr>
      <w:r>
        <w:rPr>
          <w:rFonts w:hint="eastAsia" w:ascii="宋体" w:hAnsi="宋体"/>
        </w:rPr>
        <w:t>1</w:t>
      </w:r>
      <w:r>
        <w:rPr>
          <w:rFonts w:ascii="宋体" w:hAnsi="宋体"/>
        </w:rPr>
        <w:t>2</w:t>
      </w:r>
      <w:r>
        <w:rPr>
          <w:rFonts w:hint="eastAsia" w:ascii="宋体" w:hAnsi="宋体"/>
        </w:rPr>
        <w:t>）病案分析：</w:t>
      </w:r>
    </w:p>
    <w:p>
      <w:pPr>
        <w:spacing w:line="360" w:lineRule="auto"/>
        <w:ind w:firstLine="420" w:firstLineChars="200"/>
        <w:rPr>
          <w:rFonts w:ascii="宋体" w:hAnsi="宋体"/>
        </w:rPr>
      </w:pPr>
      <w:r>
        <w:rPr>
          <w:rFonts w:hint="eastAsia" w:ascii="宋体" w:hAnsi="宋体"/>
        </w:rPr>
        <w:t>综合分析：展示各节点病案数量（区分病案次数和例数）、病案优等率及入组率趋势、问题类型占比、病案评分占比、病案风险占比、科室排名及医生排名、编码前后入组变化科室排名、问题撤销次数科室排名、病案审核完成情况等，支持点击报表下钻查看明细数据。</w:t>
      </w:r>
    </w:p>
    <w:p>
      <w:pPr>
        <w:spacing w:line="360" w:lineRule="auto"/>
        <w:ind w:firstLine="420" w:firstLineChars="200"/>
        <w:rPr>
          <w:rFonts w:ascii="宋体" w:hAnsi="宋体"/>
        </w:rPr>
      </w:pPr>
      <w:r>
        <w:rPr>
          <w:rFonts w:hint="eastAsia" w:ascii="宋体" w:hAnsi="宋体"/>
        </w:rPr>
        <w:t>病案质控科室统计：按科室、周期统计病案质控数据情况，包括：病案的总数量，错误数量，错误率、入组情况、风险情况等；支持点击报表下钻查看明细数据，下钻数据支持医生筛选维度。</w:t>
      </w:r>
    </w:p>
    <w:p>
      <w:pPr>
        <w:spacing w:line="360" w:lineRule="auto"/>
        <w:ind w:firstLine="420" w:firstLineChars="200"/>
        <w:rPr>
          <w:rFonts w:ascii="宋体" w:hAnsi="宋体"/>
        </w:rPr>
      </w:pPr>
      <w:r>
        <w:rPr>
          <w:rFonts w:hint="eastAsia" w:ascii="宋体" w:hAnsi="宋体"/>
        </w:rPr>
        <w:t>病案质量分析：按质控阶段分别进行病案质量分析，展示病案数据完整性、平均得分、优等病案率、推回临床率、平均上传次数、缺陷问题分布等；区分病案次数和份数；按编码类、非编码类、以及基本信息等病案首页信息分类进行分类统计质控问题类型，支持点击图表下钻查看明细数据。</w:t>
      </w:r>
    </w:p>
    <w:p>
      <w:pPr>
        <w:spacing w:line="360" w:lineRule="auto"/>
        <w:ind w:firstLine="420" w:firstLineChars="200"/>
        <w:rPr>
          <w:rFonts w:ascii="宋体" w:hAnsi="宋体"/>
        </w:rPr>
      </w:pPr>
      <w:r>
        <w:rPr>
          <w:rFonts w:hint="eastAsia" w:ascii="宋体" w:hAnsi="宋体"/>
        </w:rPr>
        <w:t>编码前后对比分析：展示病案首页编码前后主诊、主操、诊断数量、手术操作数量不一致的病例，对临床版首页和编码版首页进行预分组、收入变化等方面的对比，可查看病例的具体对比结果。</w:t>
      </w:r>
    </w:p>
    <w:p>
      <w:pPr>
        <w:spacing w:line="360" w:lineRule="auto"/>
        <w:ind w:firstLine="420" w:firstLineChars="200"/>
        <w:rPr>
          <w:rFonts w:ascii="宋体" w:hAnsi="宋体"/>
        </w:rPr>
      </w:pPr>
      <w:r>
        <w:rPr>
          <w:rFonts w:hint="eastAsia" w:ascii="宋体" w:hAnsi="宋体"/>
        </w:rPr>
        <w:t>病案风险分析：按风险类型、科室、周期统计全院及科室风险病案分布情况。</w:t>
      </w:r>
    </w:p>
    <w:p>
      <w:pPr>
        <w:spacing w:line="360" w:lineRule="auto"/>
        <w:ind w:firstLine="420" w:firstLineChars="200"/>
        <w:rPr>
          <w:rFonts w:ascii="宋体" w:hAnsi="宋体"/>
        </w:rPr>
      </w:pPr>
      <w:r>
        <w:rPr>
          <w:rFonts w:hint="eastAsia" w:ascii="宋体" w:hAnsi="宋体"/>
        </w:rPr>
        <w:t>病案评分统计：根据配置的病案质量评分等级（来源于国家医保局CHS-DRG培训教材），按评分等级、科室、周期统计全院及科室病案评分区间。可根据医院需求配置病案首页评分标准中的扣分项与扣分分值，通过得分可快速了解数据质量情况。</w:t>
      </w:r>
    </w:p>
    <w:p>
      <w:pPr>
        <w:spacing w:line="360" w:lineRule="auto"/>
        <w:ind w:firstLine="420" w:firstLineChars="200"/>
        <w:rPr>
          <w:rFonts w:ascii="宋体" w:hAnsi="宋体"/>
        </w:rPr>
      </w:pPr>
      <w:r>
        <w:rPr>
          <w:rFonts w:hint="eastAsia" w:ascii="宋体" w:hAnsi="宋体"/>
        </w:rPr>
        <w:t>质控工作量统计：支持按年或月统计病案质控人员的工作量。</w:t>
      </w:r>
    </w:p>
    <w:p>
      <w:pPr>
        <w:spacing w:line="360" w:lineRule="auto"/>
        <w:ind w:firstLine="420" w:firstLineChars="200"/>
        <w:rPr>
          <w:rFonts w:ascii="宋体" w:hAnsi="宋体"/>
        </w:rPr>
      </w:pPr>
      <w:r>
        <w:rPr>
          <w:rFonts w:hint="eastAsia" w:ascii="宋体" w:hAnsi="宋体"/>
        </w:rPr>
        <w:t>问题撤销统计：展示所有审核过程中被撤销的问题数据，为病案质控的公平公正提供保障。</w:t>
      </w:r>
    </w:p>
    <w:p>
      <w:pPr>
        <w:spacing w:line="360" w:lineRule="auto"/>
        <w:ind w:firstLine="420" w:firstLineChars="200"/>
        <w:rPr>
          <w:rFonts w:ascii="宋体" w:hAnsi="宋体"/>
        </w:rPr>
      </w:pPr>
      <w:r>
        <w:rPr>
          <w:rFonts w:hint="eastAsia" w:ascii="宋体" w:hAnsi="宋体"/>
        </w:rPr>
        <w:t>（2）医保结算清单管理</w:t>
      </w:r>
    </w:p>
    <w:p>
      <w:pPr>
        <w:spacing w:line="360" w:lineRule="auto"/>
        <w:ind w:firstLine="420" w:firstLineChars="200"/>
        <w:rPr>
          <w:rFonts w:ascii="宋体" w:hAnsi="宋体"/>
        </w:rPr>
      </w:pPr>
      <w:r>
        <w:rPr>
          <w:rFonts w:hint="eastAsia" w:ascii="宋体" w:hAnsi="宋体"/>
        </w:rPr>
        <w:t>1）医保结算清单生成：系统可根据系统内的病案首页数据及其他数据源提供的数据，自动生成医保结算清单，过程中按医保编码自动转码；可根据生成流程查看待生成清单的原因并针对性解决问题。</w:t>
      </w:r>
    </w:p>
    <w:p>
      <w:pPr>
        <w:spacing w:line="360" w:lineRule="auto"/>
        <w:ind w:firstLine="420" w:firstLineChars="200"/>
        <w:rPr>
          <w:rFonts w:ascii="宋体" w:hAnsi="宋体"/>
        </w:rPr>
      </w:pPr>
      <w:r>
        <w:rPr>
          <w:rFonts w:hint="eastAsia" w:ascii="宋体" w:hAnsi="宋体"/>
        </w:rPr>
        <w:t>2）医保结算清单预分组：在医保结算清单自动生成结束后，系统自动调用大数据分组服务，依据出院诊断及手术操作等进行DRG入组结果判断，提示诊断顺序正确性、风险情况、收入变化等信息。</w:t>
      </w:r>
    </w:p>
    <w:p>
      <w:pPr>
        <w:spacing w:line="360" w:lineRule="auto"/>
        <w:ind w:firstLine="420" w:firstLineChars="200"/>
        <w:rPr>
          <w:rFonts w:ascii="宋体" w:hAnsi="宋体"/>
        </w:rPr>
      </w:pPr>
      <w:r>
        <w:rPr>
          <w:rFonts w:hint="eastAsia" w:ascii="宋体" w:hAnsi="宋体"/>
        </w:rPr>
        <w:t>3）质控规则引擎：按照《医疗保障基金结算清单填写规范》（医保办34号文）、《国家医疗保障疾病诊断相关分组(CHS-DRG) 细分组方案》等权威标准规范制定相应规则及配套知识点，形成高可信度、适用于医保结算清单质控的规则引擎，提升医院纠错能力，辅助正确、合理入组，保障数据上传准确。</w:t>
      </w:r>
    </w:p>
    <w:p>
      <w:pPr>
        <w:spacing w:line="360" w:lineRule="auto"/>
        <w:ind w:firstLine="420" w:firstLineChars="200"/>
        <w:rPr>
          <w:rFonts w:ascii="宋体" w:hAnsi="宋体"/>
        </w:rPr>
      </w:pPr>
      <w:r>
        <w:rPr>
          <w:rFonts w:hint="eastAsia" w:ascii="宋体" w:hAnsi="宋体"/>
        </w:rPr>
        <w:t>4）医保结算清单风险排查及审核：医保结算清单经过分组及质控后，系统帮助用户进行关键风险问题定位，支持用户在整体清单列表页面中筛选查看带有清单问题或特殊入组情况清单（包括高低倍率清单，未入组清单，无效清单等），直接进行风险统计，直接定位带有清单问题或特殊入组情况清单的来源，所属科室及详细统计数字。</w:t>
      </w:r>
    </w:p>
    <w:p>
      <w:pPr>
        <w:spacing w:line="360" w:lineRule="auto"/>
        <w:ind w:firstLine="420" w:firstLineChars="200"/>
        <w:rPr>
          <w:rFonts w:ascii="宋体" w:hAnsi="宋体"/>
        </w:rPr>
      </w:pPr>
      <w:r>
        <w:rPr>
          <w:rFonts w:hint="eastAsia" w:ascii="宋体" w:hAnsi="宋体"/>
        </w:rPr>
        <w:t>5）医保结算清单质控：在上报医保结算清单前，医保科用户可直接看到医保结算清单预入组结果及其数据质量表现，帮助用户在医保结算清单上发现问题，解决问题，并尽可能在上报医保前提升数据质量。</w:t>
      </w:r>
    </w:p>
    <w:p>
      <w:pPr>
        <w:spacing w:line="360" w:lineRule="auto"/>
        <w:ind w:firstLine="420" w:firstLineChars="200"/>
        <w:rPr>
          <w:rFonts w:ascii="宋体" w:hAnsi="宋体"/>
        </w:rPr>
      </w:pPr>
      <w:r>
        <w:rPr>
          <w:rFonts w:hint="eastAsia" w:ascii="宋体" w:hAnsi="宋体"/>
        </w:rPr>
        <w:t>6）分组推荐：对于质控存在风险的医保结算清单，系统提供整改建议，根据出院主要诊断、手术操作编码等关键信息对当前医保结算清单进行DRG预分组推荐，通过系统推荐的分组调整方案进行调整诊断和手术操作入到不同分组，同时对推荐所入组风险进行标识。</w:t>
      </w:r>
    </w:p>
    <w:p>
      <w:pPr>
        <w:spacing w:line="360" w:lineRule="auto"/>
        <w:ind w:firstLine="420" w:firstLineChars="200"/>
        <w:rPr>
          <w:rFonts w:ascii="宋体" w:hAnsi="宋体"/>
        </w:rPr>
      </w:pPr>
      <w:r>
        <w:rPr>
          <w:rFonts w:hint="eastAsia" w:ascii="宋体" w:hAnsi="宋体"/>
        </w:rPr>
        <w:t>7）在线编辑：支持在医保结算清单审核过程中进行在线编辑，支持调整诊断行、手术行进行排序，特别是调整主诊、第一手术的选择，编辑后可即时质控分组。</w:t>
      </w:r>
    </w:p>
    <w:p>
      <w:pPr>
        <w:spacing w:line="360" w:lineRule="auto"/>
        <w:ind w:firstLine="420" w:firstLineChars="200"/>
        <w:rPr>
          <w:rFonts w:ascii="宋体" w:hAnsi="宋体"/>
        </w:rPr>
      </w:pPr>
      <w:r>
        <w:rPr>
          <w:rFonts w:hint="eastAsia" w:ascii="宋体" w:hAnsi="宋体"/>
        </w:rPr>
        <w:t>8）智能编码：针对任意医学表达，进行解剖部位、术式路入等诊断或手术特征识别后，通过自然语义理解进行次序重构和深度检索，实现ICD智能编码。ICD版本支持地方和国家管理版本需要。</w:t>
      </w:r>
    </w:p>
    <w:p>
      <w:pPr>
        <w:spacing w:line="360" w:lineRule="auto"/>
        <w:ind w:firstLine="420" w:firstLineChars="200"/>
        <w:rPr>
          <w:rFonts w:ascii="宋体" w:hAnsi="宋体"/>
        </w:rPr>
      </w:pPr>
      <w:r>
        <w:rPr>
          <w:rFonts w:ascii="宋体" w:hAnsi="宋体"/>
        </w:rPr>
        <w:t>9</w:t>
      </w:r>
      <w:r>
        <w:rPr>
          <w:rFonts w:hint="eastAsia" w:ascii="宋体" w:hAnsi="宋体"/>
        </w:rPr>
        <w:t>）数据留痕：所有审核、操作留痕、可查，包括审核记录、评分记录、修改记录等，为质量改进提供数据资料。</w:t>
      </w:r>
    </w:p>
    <w:p>
      <w:pPr>
        <w:spacing w:line="360" w:lineRule="auto"/>
        <w:ind w:firstLine="420" w:firstLineChars="200"/>
        <w:rPr>
          <w:rFonts w:ascii="宋体" w:hAnsi="宋体"/>
        </w:rPr>
      </w:pPr>
      <w:r>
        <w:rPr>
          <w:rFonts w:hint="eastAsia" w:ascii="宋体" w:hAnsi="宋体"/>
        </w:rPr>
        <w:t>1</w:t>
      </w:r>
      <w:r>
        <w:rPr>
          <w:rFonts w:ascii="宋体" w:hAnsi="宋体"/>
        </w:rPr>
        <w:t>0</w:t>
      </w:r>
      <w:r>
        <w:rPr>
          <w:rFonts w:hint="eastAsia" w:ascii="宋体" w:hAnsi="宋体"/>
        </w:rPr>
        <w:t>）清单上报前置审核：医保结算清单经过前置审核修改后，用户可将数据质量和入组结果得到保障的结算清单数据上传至医保局平台。</w:t>
      </w:r>
    </w:p>
    <w:p>
      <w:pPr>
        <w:spacing w:line="360" w:lineRule="auto"/>
        <w:ind w:firstLine="420" w:firstLineChars="200"/>
        <w:rPr>
          <w:rFonts w:ascii="宋体" w:hAnsi="宋体"/>
        </w:rPr>
      </w:pPr>
      <w:r>
        <w:rPr>
          <w:rFonts w:hint="eastAsia" w:ascii="宋体" w:hAnsi="宋体"/>
        </w:rPr>
        <w:t>（3）基础支撑</w:t>
      </w:r>
    </w:p>
    <w:p>
      <w:pPr>
        <w:spacing w:line="360" w:lineRule="auto"/>
        <w:ind w:firstLine="420" w:firstLineChars="200"/>
        <w:rPr>
          <w:rFonts w:ascii="宋体" w:hAnsi="宋体"/>
        </w:rPr>
      </w:pPr>
      <w:r>
        <w:rPr>
          <w:rFonts w:hint="eastAsia" w:ascii="宋体" w:hAnsi="宋体"/>
        </w:rPr>
        <w:t>分组器配置：支持根据医院当地付费要求为医院应用不同版本分组器，包括但不限于CHS-DRG分组器。</w:t>
      </w:r>
    </w:p>
    <w:p>
      <w:pPr>
        <w:spacing w:line="360" w:lineRule="auto"/>
        <w:ind w:firstLine="420" w:firstLineChars="200"/>
        <w:rPr>
          <w:rFonts w:ascii="宋体" w:hAnsi="宋体"/>
        </w:rPr>
      </w:pPr>
      <w:r>
        <w:rPr>
          <w:rFonts w:hint="eastAsia" w:ascii="宋体" w:hAnsi="宋体"/>
        </w:rPr>
        <w:t>本地DRG差异化配置：支持根据医院当地付费要求为医院配置本地化的DRG编码。</w:t>
      </w:r>
    </w:p>
    <w:p>
      <w:pPr>
        <w:spacing w:line="360" w:lineRule="auto"/>
        <w:ind w:firstLine="420" w:firstLineChars="200"/>
        <w:rPr>
          <w:rFonts w:ascii="宋体" w:hAnsi="宋体"/>
        </w:rPr>
      </w:pPr>
      <w:r>
        <w:rPr>
          <w:rFonts w:hint="eastAsia" w:ascii="宋体" w:hAnsi="宋体"/>
        </w:rPr>
        <w:t>安全管理：日志监控与管理、安全防护措施、备份机制。</w:t>
      </w:r>
    </w:p>
    <w:p>
      <w:pPr>
        <w:spacing w:line="360" w:lineRule="auto"/>
        <w:rPr>
          <w:rFonts w:ascii="宋体" w:hAnsi="宋体"/>
          <w:b/>
        </w:rPr>
      </w:pPr>
      <w:r>
        <w:rPr>
          <w:rFonts w:ascii="宋体" w:hAnsi="宋体"/>
          <w:b/>
        </w:rPr>
        <w:t>3</w:t>
      </w:r>
      <w:r>
        <w:rPr>
          <w:rFonts w:hint="eastAsia" w:ascii="宋体" w:hAnsi="宋体"/>
          <w:b/>
          <w:lang w:val="en-US" w:eastAsia="zh-CN"/>
        </w:rPr>
        <w:t>.</w:t>
      </w:r>
      <w:r>
        <w:rPr>
          <w:rFonts w:hint="eastAsia" w:ascii="宋体" w:hAnsi="宋体"/>
          <w:b/>
        </w:rPr>
        <w:t>医保结算分析管理系统</w:t>
      </w:r>
    </w:p>
    <w:p>
      <w:pPr>
        <w:tabs>
          <w:tab w:val="left" w:pos="2847"/>
        </w:tabs>
        <w:spacing w:line="360" w:lineRule="auto"/>
        <w:ind w:firstLine="420" w:firstLineChars="200"/>
        <w:rPr>
          <w:rFonts w:ascii="宋体" w:hAnsi="宋体"/>
          <w:color w:val="000000"/>
        </w:rPr>
      </w:pPr>
      <w:r>
        <w:rPr>
          <w:rFonts w:hint="eastAsia" w:ascii="宋体" w:hAnsi="宋体"/>
          <w:color w:val="000000"/>
        </w:rPr>
        <w:t>（1）全院综合分析</w:t>
      </w:r>
    </w:p>
    <w:p>
      <w:pPr>
        <w:tabs>
          <w:tab w:val="left" w:pos="2847"/>
        </w:tabs>
        <w:spacing w:line="360" w:lineRule="auto"/>
        <w:ind w:firstLine="420" w:firstLineChars="200"/>
        <w:rPr>
          <w:rFonts w:ascii="宋体" w:hAnsi="宋体"/>
          <w:color w:val="000000"/>
        </w:rPr>
      </w:pPr>
      <w:r>
        <w:rPr>
          <w:rFonts w:hint="eastAsia" w:ascii="宋体" w:hAnsi="宋体"/>
          <w:color w:val="000000"/>
        </w:rPr>
        <w:t>根据出院时间对全院及科室盈亏分析，包含增长率、再入院率、盈亏趋势、科室指标监控、费用结构、病种盈亏等分析。</w:t>
      </w:r>
    </w:p>
    <w:p>
      <w:pPr>
        <w:tabs>
          <w:tab w:val="left" w:pos="2847"/>
        </w:tabs>
        <w:spacing w:line="360" w:lineRule="auto"/>
        <w:ind w:firstLine="420" w:firstLineChars="200"/>
        <w:rPr>
          <w:rFonts w:ascii="宋体" w:hAnsi="宋体"/>
          <w:color w:val="000000"/>
        </w:rPr>
      </w:pPr>
      <w:r>
        <w:rPr>
          <w:rFonts w:hint="eastAsia" w:ascii="宋体" w:hAnsi="宋体"/>
          <w:color w:val="000000"/>
        </w:rPr>
        <w:t>（2）科室综合分析</w:t>
      </w:r>
    </w:p>
    <w:p>
      <w:pPr>
        <w:tabs>
          <w:tab w:val="left" w:pos="2847"/>
        </w:tabs>
        <w:spacing w:line="360" w:lineRule="auto"/>
        <w:ind w:firstLine="420" w:firstLineChars="200"/>
        <w:rPr>
          <w:rFonts w:ascii="宋体" w:hAnsi="宋体"/>
          <w:color w:val="000000"/>
        </w:rPr>
      </w:pPr>
      <w:r>
        <w:rPr>
          <w:rFonts w:hint="eastAsia" w:ascii="宋体" w:hAnsi="宋体"/>
          <w:color w:val="000000"/>
        </w:rPr>
        <w:t>根据出院时间对科室及医生盈亏分析，包含增长率、再入院率、盈亏趋势、医生指标监控、费用结构、医生盈亏等分析。</w:t>
      </w:r>
    </w:p>
    <w:p>
      <w:pPr>
        <w:tabs>
          <w:tab w:val="left" w:pos="2847"/>
        </w:tabs>
        <w:spacing w:line="360" w:lineRule="auto"/>
        <w:ind w:firstLine="420" w:firstLineChars="200"/>
        <w:rPr>
          <w:rFonts w:ascii="宋体" w:hAnsi="宋体"/>
          <w:color w:val="000000"/>
        </w:rPr>
      </w:pPr>
      <w:r>
        <w:rPr>
          <w:rFonts w:hint="eastAsia" w:ascii="宋体" w:hAnsi="宋体"/>
          <w:color w:val="000000"/>
        </w:rPr>
        <w:t>（3）全院病种结构分析</w:t>
      </w:r>
    </w:p>
    <w:p>
      <w:pPr>
        <w:tabs>
          <w:tab w:val="left" w:pos="2847"/>
        </w:tabs>
        <w:spacing w:line="360" w:lineRule="auto"/>
        <w:ind w:firstLine="420" w:firstLineChars="200"/>
        <w:rPr>
          <w:rFonts w:ascii="宋体" w:hAnsi="宋体"/>
          <w:color w:val="000000"/>
        </w:rPr>
      </w:pPr>
      <w:r>
        <w:rPr>
          <w:rFonts w:hint="eastAsia" w:ascii="宋体" w:hAnsi="宋体"/>
          <w:color w:val="000000"/>
        </w:rPr>
        <w:t>根据出院时间对全院进行病种结构分析，包含高低倍率风险病种的统计及各病种的横向分析。</w:t>
      </w:r>
    </w:p>
    <w:p>
      <w:pPr>
        <w:tabs>
          <w:tab w:val="left" w:pos="2847"/>
        </w:tabs>
        <w:spacing w:line="360" w:lineRule="auto"/>
        <w:ind w:firstLine="420" w:firstLineChars="200"/>
        <w:rPr>
          <w:rFonts w:ascii="宋体" w:hAnsi="宋体"/>
          <w:color w:val="000000"/>
        </w:rPr>
      </w:pPr>
      <w:r>
        <w:rPr>
          <w:rFonts w:hint="eastAsia" w:ascii="宋体" w:hAnsi="宋体"/>
          <w:color w:val="000000"/>
        </w:rPr>
        <w:t>（4）科室病种结构分析</w:t>
      </w:r>
    </w:p>
    <w:p>
      <w:pPr>
        <w:tabs>
          <w:tab w:val="left" w:pos="2847"/>
        </w:tabs>
        <w:spacing w:line="360" w:lineRule="auto"/>
        <w:ind w:firstLine="420" w:firstLineChars="200"/>
        <w:rPr>
          <w:rFonts w:ascii="宋体" w:hAnsi="宋体"/>
          <w:color w:val="000000"/>
        </w:rPr>
      </w:pPr>
      <w:r>
        <w:rPr>
          <w:rFonts w:hint="eastAsia" w:ascii="宋体" w:hAnsi="宋体"/>
          <w:color w:val="000000"/>
        </w:rPr>
        <w:t>根据出院时间对科室进行病种结构分析，包含高低倍率风险病种的统计及各病种的横向分析。</w:t>
      </w:r>
    </w:p>
    <w:p>
      <w:pPr>
        <w:tabs>
          <w:tab w:val="left" w:pos="2847"/>
        </w:tabs>
        <w:spacing w:line="360" w:lineRule="auto"/>
        <w:ind w:firstLine="420" w:firstLineChars="200"/>
        <w:rPr>
          <w:rFonts w:ascii="宋体" w:hAnsi="宋体"/>
          <w:color w:val="000000"/>
        </w:rPr>
      </w:pPr>
      <w:r>
        <w:rPr>
          <w:rFonts w:hint="eastAsia" w:ascii="宋体" w:hAnsi="宋体"/>
          <w:color w:val="000000"/>
        </w:rPr>
        <w:t>（5）医生病种结构分析</w:t>
      </w:r>
    </w:p>
    <w:p>
      <w:pPr>
        <w:tabs>
          <w:tab w:val="left" w:pos="2847"/>
        </w:tabs>
        <w:spacing w:line="360" w:lineRule="auto"/>
        <w:ind w:firstLine="420" w:firstLineChars="200"/>
        <w:rPr>
          <w:rFonts w:ascii="宋体" w:hAnsi="宋体"/>
          <w:color w:val="000000"/>
        </w:rPr>
      </w:pPr>
      <w:r>
        <w:rPr>
          <w:rFonts w:hint="eastAsia" w:ascii="宋体" w:hAnsi="宋体"/>
          <w:color w:val="000000"/>
        </w:rPr>
        <w:t>根据出院时间对医生进行病种结构分析，包含高低倍率风险病种的统计及各病种的横向分析。</w:t>
      </w:r>
    </w:p>
    <w:p>
      <w:pPr>
        <w:tabs>
          <w:tab w:val="left" w:pos="2847"/>
        </w:tabs>
        <w:spacing w:line="360" w:lineRule="auto"/>
        <w:ind w:firstLine="420" w:firstLineChars="200"/>
        <w:rPr>
          <w:rFonts w:ascii="宋体" w:hAnsi="宋体"/>
          <w:color w:val="000000"/>
        </w:rPr>
      </w:pPr>
      <w:r>
        <w:rPr>
          <w:rFonts w:hint="eastAsia" w:ascii="宋体" w:hAnsi="宋体"/>
          <w:color w:val="000000"/>
        </w:rPr>
        <w:t>（6）全院费用结构分析</w:t>
      </w:r>
    </w:p>
    <w:p>
      <w:pPr>
        <w:tabs>
          <w:tab w:val="left" w:pos="2847"/>
        </w:tabs>
        <w:spacing w:line="360" w:lineRule="auto"/>
        <w:ind w:firstLine="420" w:firstLineChars="200"/>
        <w:rPr>
          <w:rFonts w:ascii="宋体" w:hAnsi="宋体"/>
          <w:color w:val="000000"/>
        </w:rPr>
      </w:pPr>
      <w:r>
        <w:rPr>
          <w:rFonts w:hint="eastAsia" w:ascii="宋体" w:hAnsi="宋体"/>
          <w:color w:val="000000"/>
        </w:rPr>
        <w:t>根据出院时间对全院进行费用结构分析，包含各项费用的占比及各病种、各科室费用类目横向分析。</w:t>
      </w:r>
    </w:p>
    <w:p>
      <w:pPr>
        <w:tabs>
          <w:tab w:val="left" w:pos="2847"/>
        </w:tabs>
        <w:spacing w:line="360" w:lineRule="auto"/>
        <w:ind w:firstLine="420" w:firstLineChars="200"/>
        <w:rPr>
          <w:rFonts w:ascii="宋体" w:hAnsi="宋体"/>
          <w:color w:val="000000"/>
        </w:rPr>
      </w:pPr>
      <w:r>
        <w:rPr>
          <w:rFonts w:hint="eastAsia" w:ascii="宋体" w:hAnsi="宋体"/>
          <w:color w:val="000000"/>
        </w:rPr>
        <w:t>（7）科室费用结构分析</w:t>
      </w:r>
    </w:p>
    <w:p>
      <w:pPr>
        <w:tabs>
          <w:tab w:val="left" w:pos="2847"/>
        </w:tabs>
        <w:spacing w:line="360" w:lineRule="auto"/>
        <w:ind w:firstLine="420" w:firstLineChars="200"/>
        <w:rPr>
          <w:rFonts w:ascii="宋体" w:hAnsi="宋体"/>
          <w:color w:val="000000"/>
        </w:rPr>
      </w:pPr>
      <w:r>
        <w:rPr>
          <w:rFonts w:hint="eastAsia" w:ascii="宋体" w:hAnsi="宋体"/>
          <w:color w:val="000000"/>
        </w:rPr>
        <w:t>根据出院时间对科室进行费用结构分析，包含各项费用的占比及各病种、各医生费用类目横向分析。</w:t>
      </w:r>
    </w:p>
    <w:p>
      <w:pPr>
        <w:tabs>
          <w:tab w:val="left" w:pos="2847"/>
        </w:tabs>
        <w:spacing w:line="360" w:lineRule="auto"/>
        <w:ind w:firstLine="420" w:firstLineChars="200"/>
        <w:rPr>
          <w:rFonts w:ascii="宋体" w:hAnsi="宋体"/>
          <w:color w:val="000000"/>
        </w:rPr>
      </w:pPr>
      <w:r>
        <w:rPr>
          <w:rFonts w:hint="eastAsia" w:ascii="宋体" w:hAnsi="宋体"/>
          <w:color w:val="000000"/>
        </w:rPr>
        <w:t>（8）医生费用结构分析</w:t>
      </w:r>
    </w:p>
    <w:p>
      <w:pPr>
        <w:tabs>
          <w:tab w:val="left" w:pos="2847"/>
        </w:tabs>
        <w:spacing w:line="360" w:lineRule="auto"/>
        <w:ind w:firstLine="420" w:firstLineChars="200"/>
        <w:rPr>
          <w:rFonts w:ascii="宋体" w:hAnsi="宋体"/>
          <w:color w:val="000000"/>
        </w:rPr>
      </w:pPr>
      <w:r>
        <w:rPr>
          <w:rFonts w:hint="eastAsia" w:ascii="宋体" w:hAnsi="宋体"/>
          <w:color w:val="000000"/>
        </w:rPr>
        <w:t>根据出院时间对医生进行费用结构分析，包含各项费用的占比及各病种费用类目横向分析。</w:t>
      </w:r>
    </w:p>
    <w:p>
      <w:pPr>
        <w:tabs>
          <w:tab w:val="left" w:pos="2847"/>
        </w:tabs>
        <w:spacing w:line="360" w:lineRule="auto"/>
        <w:ind w:firstLine="420" w:firstLineChars="200"/>
        <w:rPr>
          <w:rFonts w:ascii="宋体" w:hAnsi="宋体"/>
          <w:color w:val="000000"/>
        </w:rPr>
      </w:pPr>
      <w:r>
        <w:rPr>
          <w:rFonts w:hint="eastAsia" w:ascii="宋体" w:hAnsi="宋体"/>
          <w:color w:val="000000"/>
        </w:rPr>
        <w:t>（9）全院盈亏分析</w:t>
      </w:r>
    </w:p>
    <w:p>
      <w:pPr>
        <w:tabs>
          <w:tab w:val="left" w:pos="2847"/>
        </w:tabs>
        <w:spacing w:line="360" w:lineRule="auto"/>
        <w:ind w:firstLine="420" w:firstLineChars="200"/>
        <w:rPr>
          <w:rFonts w:ascii="宋体" w:hAnsi="宋体"/>
          <w:color w:val="000000"/>
        </w:rPr>
      </w:pPr>
      <w:r>
        <w:rPr>
          <w:rFonts w:hint="eastAsia" w:ascii="宋体" w:hAnsi="宋体"/>
          <w:color w:val="000000"/>
        </w:rPr>
        <w:t>根据出院时间对全院进行盈亏分析，包含全院纬度的盈亏汇总和病种病例数分析，包含病组及科室纬度的风险病例统计和盈亏分析。</w:t>
      </w:r>
    </w:p>
    <w:p>
      <w:pPr>
        <w:tabs>
          <w:tab w:val="left" w:pos="2847"/>
        </w:tabs>
        <w:spacing w:line="360" w:lineRule="auto"/>
        <w:ind w:firstLine="420" w:firstLineChars="200"/>
        <w:rPr>
          <w:rFonts w:ascii="宋体" w:hAnsi="宋体"/>
          <w:color w:val="000000"/>
        </w:rPr>
      </w:pPr>
      <w:r>
        <w:rPr>
          <w:rFonts w:hint="eastAsia" w:ascii="宋体" w:hAnsi="宋体"/>
          <w:color w:val="000000"/>
        </w:rPr>
        <w:t>（10）科室盈亏分析</w:t>
      </w:r>
    </w:p>
    <w:p>
      <w:pPr>
        <w:tabs>
          <w:tab w:val="left" w:pos="2847"/>
        </w:tabs>
        <w:spacing w:line="360" w:lineRule="auto"/>
        <w:ind w:firstLine="420" w:firstLineChars="200"/>
        <w:rPr>
          <w:rFonts w:ascii="宋体" w:hAnsi="宋体"/>
          <w:color w:val="000000"/>
        </w:rPr>
      </w:pPr>
      <w:r>
        <w:rPr>
          <w:rFonts w:hint="eastAsia" w:ascii="宋体" w:hAnsi="宋体"/>
          <w:color w:val="000000"/>
        </w:rPr>
        <w:t>根据出院时间对科室进行盈亏分析，包含科室纬度的盈亏汇总和病种病例数分析，包含病组及科室医生纬度的风险病例统计和盈亏分析。</w:t>
      </w:r>
    </w:p>
    <w:p>
      <w:pPr>
        <w:tabs>
          <w:tab w:val="left" w:pos="2847"/>
        </w:tabs>
        <w:spacing w:line="360" w:lineRule="auto"/>
        <w:ind w:firstLine="420" w:firstLineChars="200"/>
        <w:rPr>
          <w:rFonts w:ascii="宋体" w:hAnsi="宋体"/>
          <w:color w:val="000000"/>
        </w:rPr>
      </w:pPr>
      <w:r>
        <w:rPr>
          <w:rFonts w:hint="eastAsia" w:ascii="宋体" w:hAnsi="宋体"/>
          <w:color w:val="000000"/>
        </w:rPr>
        <w:t>（11）医生盈亏分析</w:t>
      </w:r>
    </w:p>
    <w:p>
      <w:pPr>
        <w:tabs>
          <w:tab w:val="left" w:pos="2847"/>
        </w:tabs>
        <w:spacing w:line="360" w:lineRule="auto"/>
        <w:ind w:firstLine="420" w:firstLineChars="200"/>
        <w:rPr>
          <w:rFonts w:ascii="宋体" w:hAnsi="宋体"/>
          <w:color w:val="000000"/>
        </w:rPr>
      </w:pPr>
      <w:r>
        <w:rPr>
          <w:rFonts w:hint="eastAsia" w:ascii="宋体" w:hAnsi="宋体"/>
          <w:color w:val="000000"/>
        </w:rPr>
        <w:t>根据出院时间对医生进行盈亏分析，包含医生纬度的盈亏汇总和病种病例数分析，包含病组纬度的风险病例统计。</w:t>
      </w:r>
    </w:p>
    <w:p>
      <w:pPr>
        <w:tabs>
          <w:tab w:val="left" w:pos="2847"/>
        </w:tabs>
        <w:spacing w:line="360" w:lineRule="auto"/>
        <w:ind w:firstLine="420" w:firstLineChars="200"/>
        <w:rPr>
          <w:rFonts w:ascii="宋体" w:hAnsi="宋体"/>
          <w:color w:val="000000"/>
        </w:rPr>
      </w:pPr>
      <w:r>
        <w:rPr>
          <w:rFonts w:hint="eastAsia" w:ascii="宋体" w:hAnsi="宋体"/>
          <w:color w:val="000000"/>
        </w:rPr>
        <w:t>（12）病案监测</w:t>
      </w:r>
    </w:p>
    <w:p>
      <w:pPr>
        <w:tabs>
          <w:tab w:val="left" w:pos="2847"/>
        </w:tabs>
        <w:spacing w:line="360" w:lineRule="auto"/>
        <w:ind w:firstLine="420" w:firstLineChars="200"/>
        <w:rPr>
          <w:rFonts w:ascii="宋体" w:hAnsi="宋体"/>
          <w:color w:val="000000"/>
        </w:rPr>
      </w:pPr>
      <w:r>
        <w:rPr>
          <w:rFonts w:hint="eastAsia" w:ascii="宋体" w:hAnsi="宋体"/>
          <w:color w:val="000000"/>
        </w:rPr>
        <w:t>根据入院日期和科室等信息查询在院患者及出院未结算患者，从入院到出院过程监控费用是否超标。</w:t>
      </w:r>
    </w:p>
    <w:p>
      <w:pPr>
        <w:tabs>
          <w:tab w:val="left" w:pos="2847"/>
        </w:tabs>
        <w:spacing w:line="360" w:lineRule="auto"/>
        <w:ind w:firstLine="420" w:firstLineChars="200"/>
        <w:rPr>
          <w:rFonts w:ascii="宋体" w:hAnsi="宋体"/>
          <w:color w:val="000000"/>
        </w:rPr>
      </w:pPr>
      <w:r>
        <w:rPr>
          <w:rFonts w:hint="eastAsia" w:ascii="宋体" w:hAnsi="宋体"/>
          <w:color w:val="000000"/>
        </w:rPr>
        <w:t>（13）结算反馈</w:t>
      </w:r>
    </w:p>
    <w:p>
      <w:pPr>
        <w:tabs>
          <w:tab w:val="left" w:pos="2847"/>
        </w:tabs>
        <w:spacing w:line="360" w:lineRule="auto"/>
        <w:ind w:firstLine="420" w:firstLineChars="200"/>
        <w:rPr>
          <w:rFonts w:ascii="宋体" w:hAnsi="宋体"/>
          <w:color w:val="000000"/>
        </w:rPr>
      </w:pPr>
      <w:r>
        <w:rPr>
          <w:rFonts w:hint="eastAsia" w:ascii="宋体" w:hAnsi="宋体"/>
          <w:color w:val="000000"/>
        </w:rPr>
        <w:t>导入医保局结算数据，通过与系统病案分组对比，为分析病组差异及盈亏计算提供数据基础。</w:t>
      </w:r>
    </w:p>
    <w:p>
      <w:pPr>
        <w:tabs>
          <w:tab w:val="left" w:pos="2847"/>
        </w:tabs>
        <w:spacing w:line="360" w:lineRule="auto"/>
        <w:ind w:firstLine="420" w:firstLineChars="200"/>
        <w:rPr>
          <w:rFonts w:ascii="宋体" w:hAnsi="宋体"/>
          <w:color w:val="000000"/>
        </w:rPr>
      </w:pPr>
      <w:r>
        <w:rPr>
          <w:rFonts w:hint="eastAsia" w:ascii="宋体" w:hAnsi="宋体"/>
          <w:color w:val="000000"/>
        </w:rPr>
        <w:t>（14）结算病案查询</w:t>
      </w:r>
    </w:p>
    <w:p>
      <w:pPr>
        <w:tabs>
          <w:tab w:val="left" w:pos="2847"/>
        </w:tabs>
        <w:spacing w:line="360" w:lineRule="auto"/>
        <w:ind w:firstLine="420" w:firstLineChars="200"/>
        <w:rPr>
          <w:rFonts w:ascii="宋体" w:hAnsi="宋体"/>
          <w:color w:val="000000"/>
        </w:rPr>
      </w:pPr>
      <w:r>
        <w:rPr>
          <w:rFonts w:hint="eastAsia" w:ascii="宋体" w:hAnsi="宋体"/>
          <w:color w:val="000000"/>
        </w:rPr>
        <w:t>查询所有已结算病案的详细信息，包含分组、费用等</w:t>
      </w:r>
    </w:p>
    <w:p>
      <w:pPr>
        <w:spacing w:line="360" w:lineRule="auto"/>
        <w:rPr>
          <w:rFonts w:ascii="宋体" w:hAnsi="宋体"/>
          <w:b/>
          <w:szCs w:val="21"/>
        </w:rPr>
      </w:pPr>
      <w:r>
        <w:rPr>
          <w:rFonts w:ascii="宋体" w:hAnsi="宋体"/>
          <w:b/>
          <w:szCs w:val="21"/>
        </w:rPr>
        <w:t>4</w:t>
      </w:r>
      <w:r>
        <w:rPr>
          <w:rFonts w:hint="eastAsia" w:ascii="宋体" w:hAnsi="宋体"/>
          <w:b/>
          <w:szCs w:val="21"/>
          <w:lang w:val="en-US" w:eastAsia="zh-CN"/>
        </w:rPr>
        <w:t>.</w:t>
      </w:r>
      <w:r>
        <w:rPr>
          <w:rFonts w:hint="eastAsia" w:ascii="宋体" w:hAnsi="宋体"/>
          <w:b/>
          <w:szCs w:val="21"/>
        </w:rPr>
        <w:t>平台基础功能</w:t>
      </w:r>
    </w:p>
    <w:p>
      <w:pPr>
        <w:spacing w:line="360" w:lineRule="auto"/>
        <w:ind w:firstLine="210" w:firstLineChars="100"/>
        <w:rPr>
          <w:rFonts w:ascii="宋体" w:hAnsi="宋体"/>
          <w:color w:val="000000"/>
        </w:rPr>
      </w:pPr>
      <w:r>
        <w:rPr>
          <w:rFonts w:hint="eastAsia" w:ascii="宋体" w:hAnsi="宋体"/>
          <w:color w:val="000000"/>
        </w:rPr>
        <w:t>（1）日志管理：对所有用户的操作进行记录监控，通过日志系统对敏感数据和操作进行管理。</w:t>
      </w:r>
    </w:p>
    <w:p>
      <w:pPr>
        <w:spacing w:line="360" w:lineRule="auto"/>
        <w:ind w:firstLine="210" w:firstLineChars="100"/>
        <w:rPr>
          <w:rFonts w:ascii="宋体" w:hAnsi="宋体"/>
          <w:color w:val="000000"/>
        </w:rPr>
      </w:pPr>
      <w:r>
        <w:rPr>
          <w:rFonts w:hint="eastAsia" w:ascii="宋体" w:hAnsi="宋体"/>
          <w:color w:val="000000"/>
        </w:rPr>
        <w:t>（2）系统配置：支持灵活自定义配置系统阈值</w:t>
      </w:r>
    </w:p>
    <w:p>
      <w:pPr>
        <w:spacing w:line="360" w:lineRule="auto"/>
        <w:ind w:firstLine="210" w:firstLineChars="100"/>
        <w:rPr>
          <w:rFonts w:ascii="宋体" w:hAnsi="宋体"/>
          <w:color w:val="000000"/>
        </w:rPr>
      </w:pPr>
      <w:r>
        <w:rPr>
          <w:rFonts w:hint="eastAsia" w:ascii="宋体" w:hAnsi="宋体"/>
          <w:color w:val="000000"/>
        </w:rPr>
        <w:t>（3）用户权限管理：支持创建用户、分配角色，包括对数据权限和功能权限的动态管理。</w:t>
      </w:r>
    </w:p>
    <w:p>
      <w:pPr>
        <w:spacing w:line="360" w:lineRule="auto"/>
        <w:rPr>
          <w:rFonts w:ascii="宋体" w:hAnsi="宋体"/>
          <w:szCs w:val="21"/>
        </w:rPr>
      </w:pPr>
      <w:r>
        <w:rPr>
          <w:rFonts w:hint="eastAsia" w:ascii="宋体" w:hAnsi="宋体"/>
          <w:szCs w:val="21"/>
        </w:rPr>
        <w:t>系统基础功能大纲列表如下所示：</w:t>
      </w:r>
    </w:p>
    <w:p>
      <w:pPr>
        <w:spacing w:line="360" w:lineRule="auto"/>
        <w:ind w:firstLine="707" w:firstLineChars="337"/>
        <w:rPr>
          <w:rFonts w:ascii="宋体" w:hAnsi="宋体"/>
          <w:szCs w:val="21"/>
        </w:rPr>
      </w:pPr>
      <w:r>
        <w:rPr>
          <w:rFonts w:hint="eastAsia" w:ascii="宋体" w:hAnsi="宋体"/>
          <w:szCs w:val="21"/>
        </w:rPr>
        <w:t>医疗机构信息管理</w:t>
      </w:r>
    </w:p>
    <w:p>
      <w:pPr>
        <w:spacing w:line="360" w:lineRule="auto"/>
        <w:ind w:firstLine="707" w:firstLineChars="337"/>
        <w:rPr>
          <w:rFonts w:ascii="宋体" w:hAnsi="宋体"/>
          <w:szCs w:val="21"/>
        </w:rPr>
      </w:pPr>
      <w:r>
        <w:rPr>
          <w:rFonts w:hint="eastAsia" w:ascii="宋体" w:hAnsi="宋体"/>
          <w:szCs w:val="21"/>
        </w:rPr>
        <w:t>用户信息管理</w:t>
      </w:r>
    </w:p>
    <w:p>
      <w:pPr>
        <w:spacing w:line="360" w:lineRule="auto"/>
        <w:ind w:firstLine="707" w:firstLineChars="337"/>
        <w:rPr>
          <w:rFonts w:ascii="宋体" w:hAnsi="宋体"/>
          <w:szCs w:val="21"/>
        </w:rPr>
      </w:pPr>
      <w:r>
        <w:rPr>
          <w:rFonts w:hint="eastAsia" w:ascii="宋体" w:hAnsi="宋体"/>
          <w:szCs w:val="21"/>
        </w:rPr>
        <w:t>菜单信息管理</w:t>
      </w:r>
    </w:p>
    <w:p>
      <w:pPr>
        <w:spacing w:line="360" w:lineRule="auto"/>
        <w:ind w:firstLine="707" w:firstLineChars="337"/>
        <w:rPr>
          <w:rFonts w:ascii="宋体" w:hAnsi="宋体"/>
          <w:szCs w:val="21"/>
        </w:rPr>
      </w:pPr>
      <w:r>
        <w:rPr>
          <w:rFonts w:hint="eastAsia" w:ascii="宋体" w:hAnsi="宋体"/>
          <w:szCs w:val="21"/>
        </w:rPr>
        <w:t>角色信息管理（数据角色及菜单角色）</w:t>
      </w:r>
    </w:p>
    <w:p>
      <w:pPr>
        <w:spacing w:line="360" w:lineRule="auto"/>
        <w:ind w:firstLine="707" w:firstLineChars="337"/>
        <w:rPr>
          <w:rFonts w:ascii="宋体" w:hAnsi="宋体"/>
          <w:szCs w:val="21"/>
        </w:rPr>
      </w:pPr>
      <w:r>
        <w:rPr>
          <w:rFonts w:hint="eastAsia" w:ascii="宋体" w:hAnsi="宋体"/>
          <w:szCs w:val="21"/>
        </w:rPr>
        <w:t>日志监控与管理</w:t>
      </w:r>
    </w:p>
    <w:p>
      <w:pPr>
        <w:spacing w:line="360" w:lineRule="auto"/>
        <w:ind w:firstLine="707" w:firstLineChars="337"/>
        <w:rPr>
          <w:rFonts w:ascii="宋体" w:hAnsi="宋体"/>
          <w:szCs w:val="21"/>
        </w:rPr>
      </w:pPr>
      <w:r>
        <w:rPr>
          <w:rFonts w:hint="eastAsia" w:ascii="宋体" w:hAnsi="宋体"/>
          <w:szCs w:val="21"/>
        </w:rPr>
        <w:t>数据字典管理</w:t>
      </w:r>
    </w:p>
    <w:p>
      <w:pPr>
        <w:spacing w:line="360" w:lineRule="auto"/>
        <w:ind w:firstLine="707" w:firstLineChars="337"/>
        <w:rPr>
          <w:rFonts w:ascii="宋体" w:hAnsi="宋体"/>
          <w:szCs w:val="21"/>
        </w:rPr>
      </w:pPr>
      <w:r>
        <w:rPr>
          <w:rFonts w:hint="eastAsia" w:ascii="宋体" w:hAnsi="宋体"/>
          <w:szCs w:val="21"/>
        </w:rPr>
        <w:t>密码管理</w:t>
      </w:r>
    </w:p>
    <w:p>
      <w:pPr>
        <w:spacing w:line="360" w:lineRule="auto"/>
        <w:rPr>
          <w:rFonts w:hint="eastAsia" w:ascii="宋体" w:hAnsi="宋体" w:eastAsia="宋体" w:cs="宋体"/>
          <w:b/>
          <w:bCs/>
          <w:color w:val="000000"/>
          <w:kern w:val="0"/>
          <w:sz w:val="24"/>
          <w:szCs w:val="24"/>
          <w:lang w:val="en-US" w:eastAsia="zh-CN" w:bidi="ar"/>
        </w:rPr>
      </w:pPr>
      <w:bookmarkStart w:id="300" w:name="_Hlk110939854"/>
      <w:r>
        <w:rPr>
          <w:rFonts w:hint="eastAsia" w:ascii="宋体" w:hAnsi="宋体" w:cs="宋体"/>
          <w:b/>
          <w:bCs/>
          <w:color w:val="000000"/>
          <w:kern w:val="0"/>
          <w:sz w:val="24"/>
          <w:szCs w:val="24"/>
          <w:lang w:val="en-US" w:eastAsia="zh-CN" w:bidi="ar"/>
        </w:rPr>
        <w:t>七</w:t>
      </w:r>
      <w:r>
        <w:rPr>
          <w:rFonts w:hint="eastAsia" w:ascii="宋体" w:hAnsi="宋体" w:eastAsia="宋体" w:cs="宋体"/>
          <w:b/>
          <w:bCs/>
          <w:color w:val="000000"/>
          <w:kern w:val="0"/>
          <w:sz w:val="24"/>
          <w:szCs w:val="24"/>
          <w:lang w:val="en-US" w:eastAsia="zh-CN" w:bidi="ar"/>
        </w:rPr>
        <w:t>、数据接口要求</w:t>
      </w:r>
    </w:p>
    <w:p>
      <w:pPr>
        <w:spacing w:line="360" w:lineRule="auto"/>
        <w:ind w:firstLine="420" w:firstLineChars="200"/>
        <w:rPr>
          <w:rFonts w:ascii="宋体" w:hAnsi="宋体"/>
          <w:szCs w:val="21"/>
        </w:rPr>
      </w:pPr>
      <w:r>
        <w:rPr>
          <w:rFonts w:hint="eastAsia" w:ascii="宋体" w:hAnsi="宋体"/>
          <w:szCs w:val="21"/>
        </w:rPr>
        <w:t>数据接口，主要包括：</w:t>
      </w:r>
    </w:p>
    <w:p>
      <w:pPr>
        <w:spacing w:line="360" w:lineRule="auto"/>
        <w:ind w:firstLine="420" w:firstLineChars="200"/>
        <w:rPr>
          <w:rFonts w:ascii="宋体" w:hAnsi="宋体"/>
          <w:szCs w:val="21"/>
        </w:rPr>
      </w:pPr>
      <w:r>
        <w:rPr>
          <w:rFonts w:hint="eastAsia" w:ascii="宋体" w:hAnsi="宋体"/>
          <w:szCs w:val="21"/>
        </w:rPr>
        <w:t>（1）数据采集：针对系统功能及定制化需求采集和同步院内第三方信息系统相关数据服务；</w:t>
      </w:r>
    </w:p>
    <w:p>
      <w:pPr>
        <w:spacing w:line="360" w:lineRule="auto"/>
        <w:ind w:firstLine="420" w:firstLineChars="200"/>
        <w:rPr>
          <w:rFonts w:ascii="宋体" w:hAnsi="宋体"/>
          <w:szCs w:val="21"/>
        </w:rPr>
      </w:pPr>
      <w:r>
        <w:rPr>
          <w:rFonts w:hint="eastAsia" w:ascii="宋体" w:hAnsi="宋体"/>
          <w:szCs w:val="21"/>
        </w:rPr>
        <w:t>（2）日志管理：对所有用户的操作进行记录监控，通过日志系统对敏感数据和操作进行管理；</w:t>
      </w:r>
    </w:p>
    <w:p>
      <w:pPr>
        <w:spacing w:line="360" w:lineRule="auto"/>
        <w:ind w:firstLine="420" w:firstLineChars="200"/>
        <w:rPr>
          <w:rFonts w:ascii="宋体" w:hAnsi="宋体"/>
          <w:szCs w:val="21"/>
        </w:rPr>
      </w:pPr>
      <w:r>
        <w:rPr>
          <w:rFonts w:hint="eastAsia" w:ascii="宋体" w:hAnsi="宋体"/>
          <w:szCs w:val="21"/>
        </w:rPr>
        <w:t>（3）系统配置：支持灵活自定义配置系统阈值；</w:t>
      </w:r>
    </w:p>
    <w:p>
      <w:pPr>
        <w:spacing w:line="360" w:lineRule="auto"/>
        <w:ind w:firstLine="420" w:firstLineChars="200"/>
        <w:rPr>
          <w:rFonts w:hint="eastAsia" w:ascii="宋体" w:hAnsi="宋体"/>
          <w:szCs w:val="21"/>
        </w:rPr>
      </w:pPr>
      <w:r>
        <w:rPr>
          <w:rFonts w:hint="eastAsia" w:ascii="宋体" w:hAnsi="宋体"/>
          <w:szCs w:val="21"/>
        </w:rPr>
        <w:t>（4）用户权限管理：支持创建用户、分配角色，包括对数据权限和功能权限的动态管理。</w:t>
      </w:r>
      <w:bookmarkEnd w:id="300"/>
    </w:p>
    <w:p>
      <w:pPr>
        <w:pStyle w:val="2"/>
        <w:rPr>
          <w:rFonts w:hint="eastAsia" w:ascii="宋体" w:hAnsi="宋体"/>
          <w:szCs w:val="21"/>
        </w:rPr>
      </w:pPr>
    </w:p>
    <w:p>
      <w:pPr>
        <w:pStyle w:val="2"/>
        <w:ind w:left="0" w:leftChars="0" w:firstLine="0" w:firstLineChars="0"/>
        <w:rPr>
          <w:rFonts w:hint="eastAsia" w:ascii="宋体" w:hAnsi="宋体"/>
          <w:szCs w:val="21"/>
        </w:rPr>
      </w:pPr>
    </w:p>
    <w:p>
      <w:pPr>
        <w:pStyle w:val="2"/>
        <w:ind w:left="0" w:leftChars="0" w:firstLine="0" w:firstLineChars="0"/>
        <w:rPr>
          <w:rFonts w:hint="eastAsia" w:ascii="宋体" w:hAnsi="宋体"/>
          <w:szCs w:val="21"/>
        </w:rPr>
      </w:pPr>
    </w:p>
    <w:p>
      <w:pPr>
        <w:pStyle w:val="2"/>
        <w:ind w:left="0" w:leftChars="0" w:firstLine="0" w:firstLineChars="0"/>
        <w:rPr>
          <w:rFonts w:hint="eastAsia" w:ascii="宋体" w:hAnsi="宋体"/>
          <w:szCs w:val="21"/>
        </w:rPr>
      </w:pPr>
    </w:p>
    <w:p>
      <w:pPr>
        <w:pStyle w:val="2"/>
        <w:ind w:left="0" w:leftChars="0" w:firstLine="0" w:firstLineChars="0"/>
        <w:rPr>
          <w:rFonts w:hint="eastAsia" w:ascii="宋体" w:hAnsi="宋体"/>
          <w:szCs w:val="21"/>
        </w:rPr>
      </w:pPr>
    </w:p>
    <w:p>
      <w:pPr>
        <w:pStyle w:val="2"/>
        <w:ind w:left="0" w:leftChars="0" w:firstLine="0" w:firstLineChars="0"/>
        <w:rPr>
          <w:rFonts w:hint="eastAsia" w:ascii="宋体" w:hAnsi="宋体"/>
          <w:szCs w:val="21"/>
        </w:rPr>
      </w:pPr>
    </w:p>
    <w:p>
      <w:pPr>
        <w:pStyle w:val="2"/>
        <w:ind w:left="0" w:leftChars="0" w:firstLine="0" w:firstLineChars="0"/>
        <w:rPr>
          <w:rFonts w:hint="eastAsia" w:ascii="宋体" w:hAnsi="宋体"/>
          <w:szCs w:val="21"/>
        </w:rPr>
      </w:pPr>
    </w:p>
    <w:p>
      <w:pPr>
        <w:pStyle w:val="2"/>
        <w:ind w:left="0" w:leftChars="0" w:firstLine="0" w:firstLineChars="0"/>
        <w:rPr>
          <w:rFonts w:hint="eastAsia" w:ascii="宋体" w:hAnsi="宋体"/>
          <w:szCs w:val="21"/>
        </w:rPr>
      </w:pPr>
    </w:p>
    <w:p>
      <w:pPr>
        <w:pStyle w:val="2"/>
        <w:ind w:left="0" w:leftChars="0" w:firstLine="0" w:firstLineChars="0"/>
        <w:rPr>
          <w:rFonts w:hint="eastAsia" w:ascii="宋体" w:hAnsi="宋体"/>
          <w:szCs w:val="21"/>
        </w:rPr>
      </w:pPr>
    </w:p>
    <w:p>
      <w:pPr>
        <w:pStyle w:val="2"/>
        <w:ind w:left="0" w:leftChars="0" w:firstLine="0" w:firstLineChars="0"/>
        <w:rPr>
          <w:rFonts w:hint="eastAsia" w:ascii="宋体" w:hAnsi="宋体"/>
          <w:szCs w:val="21"/>
        </w:rPr>
      </w:pPr>
    </w:p>
    <w:p>
      <w:pPr>
        <w:pStyle w:val="2"/>
        <w:ind w:left="0" w:leftChars="0" w:firstLine="0" w:firstLineChars="0"/>
        <w:rPr>
          <w:rFonts w:hint="eastAsia" w:ascii="宋体" w:hAnsi="宋体"/>
          <w:szCs w:val="21"/>
        </w:rPr>
      </w:pPr>
    </w:p>
    <w:p>
      <w:pPr>
        <w:pStyle w:val="2"/>
        <w:ind w:left="0" w:leftChars="0" w:firstLine="0" w:firstLineChars="0"/>
        <w:rPr>
          <w:rFonts w:hint="eastAsia" w:ascii="宋体" w:hAnsi="宋体"/>
          <w:szCs w:val="21"/>
        </w:rPr>
      </w:pPr>
    </w:p>
    <w:p>
      <w:pPr>
        <w:pStyle w:val="2"/>
        <w:ind w:left="0" w:leftChars="0" w:firstLine="0" w:firstLineChars="0"/>
        <w:rPr>
          <w:rFonts w:hint="eastAsia" w:ascii="宋体" w:hAnsi="宋体"/>
          <w:szCs w:val="21"/>
        </w:rPr>
      </w:pPr>
    </w:p>
    <w:p>
      <w:pPr>
        <w:pStyle w:val="2"/>
        <w:ind w:left="0" w:leftChars="0" w:firstLine="0" w:firstLineChars="0"/>
        <w:rPr>
          <w:rFonts w:hint="eastAsia" w:ascii="宋体" w:hAnsi="宋体"/>
          <w:szCs w:val="21"/>
        </w:rPr>
      </w:pPr>
    </w:p>
    <w:p>
      <w:pPr>
        <w:pStyle w:val="2"/>
        <w:ind w:left="0" w:leftChars="0" w:firstLine="0" w:firstLineChars="0"/>
        <w:rPr>
          <w:rFonts w:hint="eastAsia" w:ascii="宋体" w:hAnsi="宋体"/>
          <w:szCs w:val="21"/>
        </w:rPr>
      </w:pPr>
    </w:p>
    <w:p>
      <w:pPr>
        <w:pStyle w:val="2"/>
        <w:ind w:left="0" w:leftChars="0" w:firstLine="0" w:firstLineChars="0"/>
        <w:rPr>
          <w:rFonts w:hint="eastAsia" w:ascii="宋体" w:hAnsi="宋体"/>
          <w:szCs w:val="21"/>
        </w:rPr>
      </w:pPr>
    </w:p>
    <w:p>
      <w:pPr>
        <w:pStyle w:val="2"/>
        <w:ind w:left="0" w:leftChars="0" w:firstLine="0" w:firstLineChars="0"/>
        <w:rPr>
          <w:rFonts w:hint="eastAsia" w:ascii="宋体" w:hAnsi="宋体"/>
          <w:szCs w:val="21"/>
        </w:rPr>
      </w:pPr>
    </w:p>
    <w:p>
      <w:pPr>
        <w:pStyle w:val="2"/>
        <w:ind w:left="0" w:leftChars="0" w:firstLine="0" w:firstLineChars="0"/>
        <w:rPr>
          <w:rFonts w:hint="eastAsia" w:ascii="宋体" w:hAnsi="宋体"/>
          <w:szCs w:val="21"/>
        </w:rPr>
      </w:pPr>
    </w:p>
    <w:p>
      <w:pPr>
        <w:pStyle w:val="2"/>
        <w:ind w:left="0" w:leftChars="0" w:firstLine="0" w:firstLineChars="0"/>
        <w:rPr>
          <w:rFonts w:hint="eastAsia" w:ascii="宋体" w:hAnsi="宋体"/>
          <w:szCs w:val="21"/>
        </w:rPr>
      </w:pPr>
    </w:p>
    <w:p>
      <w:pPr>
        <w:pStyle w:val="5"/>
        <w:rPr>
          <w:sz w:val="44"/>
        </w:rPr>
      </w:pPr>
      <w:r>
        <w:rPr>
          <w:rFonts w:hint="eastAsia"/>
        </w:rPr>
        <w:t>第六章 投标文件格式</w:t>
      </w:r>
      <w:bookmarkEnd w:id="294"/>
      <w:bookmarkEnd w:id="295"/>
      <w:bookmarkEnd w:id="296"/>
      <w:bookmarkEnd w:id="297"/>
      <w:bookmarkEnd w:id="298"/>
    </w:p>
    <w:p>
      <w:pPr>
        <w:widowControl/>
        <w:spacing w:line="360" w:lineRule="auto"/>
        <w:jc w:val="right"/>
        <w:rPr>
          <w:rFonts w:ascii="宋体" w:hAnsi="宋体" w:cs="宋体"/>
          <w:kern w:val="0"/>
          <w:sz w:val="24"/>
        </w:rPr>
      </w:pPr>
      <w:r>
        <w:rPr>
          <w:rFonts w:hint="eastAsia" w:ascii="宋体" w:hAnsi="宋体" w:cs="宋体"/>
          <w:b/>
          <w:bCs/>
          <w:kern w:val="0"/>
          <w:sz w:val="32"/>
        </w:rPr>
        <w:t>正本或副本</w:t>
      </w:r>
    </w:p>
    <w:p>
      <w:pPr>
        <w:widowControl/>
        <w:spacing w:line="360" w:lineRule="auto"/>
        <w:jc w:val="center"/>
        <w:rPr>
          <w:rFonts w:ascii="宋体" w:hAnsi="宋体" w:cs="宋体"/>
          <w:b/>
          <w:bCs/>
          <w:kern w:val="0"/>
          <w:sz w:val="32"/>
          <w:szCs w:val="32"/>
        </w:rPr>
      </w:pPr>
    </w:p>
    <w:p>
      <w:pPr>
        <w:pStyle w:val="7"/>
        <w:adjustRightInd w:val="0"/>
        <w:spacing w:before="156" w:after="156"/>
        <w:ind w:left="505" w:leftChars="240" w:right="103" w:hanging="1"/>
        <w:jc w:val="both"/>
        <w:rPr>
          <w:rFonts w:hint="eastAsia" w:eastAsia="宋体"/>
          <w:lang w:eastAsia="zh-CN"/>
        </w:rPr>
      </w:pPr>
      <w:r>
        <w:rPr>
          <w:rFonts w:hint="eastAsia" w:ascii="Arial" w:hAnsi="Arial" w:cs="Arial"/>
          <w:color w:val="000000"/>
          <w:sz w:val="30"/>
          <w:szCs w:val="30"/>
        </w:rPr>
        <w:t>安徽相王医疗健康股份有限公司DRG综合管理信息系统</w:t>
      </w:r>
      <w:r>
        <w:rPr>
          <w:rFonts w:hint="eastAsia" w:ascii="Arial" w:hAnsi="Arial" w:cs="Arial"/>
          <w:color w:val="000000"/>
          <w:sz w:val="30"/>
          <w:szCs w:val="30"/>
          <w:lang w:eastAsia="zh-CN"/>
        </w:rPr>
        <w:t>项目</w:t>
      </w:r>
    </w:p>
    <w:p>
      <w:pPr>
        <w:widowControl/>
        <w:spacing w:line="360" w:lineRule="auto"/>
        <w:jc w:val="center"/>
        <w:rPr>
          <w:rFonts w:ascii="宋体" w:hAnsi="宋体" w:cs="宋体"/>
          <w:b/>
          <w:bCs/>
          <w:kern w:val="0"/>
          <w:sz w:val="32"/>
          <w:szCs w:val="32"/>
        </w:rPr>
      </w:pPr>
    </w:p>
    <w:p>
      <w:pPr>
        <w:widowControl/>
        <w:spacing w:line="360" w:lineRule="auto"/>
        <w:jc w:val="center"/>
        <w:rPr>
          <w:rFonts w:ascii="宋体" w:hAnsi="宋体" w:cs="宋体"/>
          <w:b/>
          <w:bCs/>
          <w:kern w:val="0"/>
          <w:sz w:val="32"/>
          <w:szCs w:val="32"/>
        </w:rPr>
      </w:pPr>
    </w:p>
    <w:p>
      <w:pPr>
        <w:widowControl/>
        <w:spacing w:line="360" w:lineRule="auto"/>
        <w:jc w:val="center"/>
        <w:rPr>
          <w:rFonts w:ascii="宋体" w:hAnsi="宋体" w:cs="宋体"/>
          <w:kern w:val="0"/>
          <w:sz w:val="24"/>
        </w:rPr>
      </w:pPr>
      <w:r>
        <w:rPr>
          <w:rFonts w:hint="eastAsia" w:ascii="宋体" w:hAnsi="宋体" w:cs="宋体"/>
          <w:b/>
          <w:bCs/>
          <w:kern w:val="0"/>
          <w:sz w:val="90"/>
          <w:szCs w:val="52"/>
        </w:rPr>
        <w:t>投标文件</w:t>
      </w:r>
    </w:p>
    <w:p>
      <w:pPr>
        <w:widowControl/>
        <w:spacing w:line="360" w:lineRule="auto"/>
        <w:jc w:val="center"/>
        <w:rPr>
          <w:rFonts w:ascii="宋体" w:hAnsi="宋体" w:cs="宋体"/>
          <w:b/>
          <w:bCs/>
          <w:kern w:val="0"/>
          <w:sz w:val="32"/>
          <w:szCs w:val="32"/>
        </w:rPr>
      </w:pPr>
    </w:p>
    <w:p>
      <w:pPr>
        <w:widowControl/>
        <w:spacing w:line="360" w:lineRule="auto"/>
        <w:jc w:val="center"/>
        <w:rPr>
          <w:rFonts w:ascii="宋体" w:hAnsi="宋体" w:cs="宋体"/>
          <w:b/>
          <w:bCs/>
          <w:kern w:val="0"/>
          <w:sz w:val="32"/>
          <w:szCs w:val="32"/>
        </w:rPr>
      </w:pPr>
      <w:r>
        <w:rPr>
          <w:rFonts w:hint="eastAsia" w:ascii="宋体" w:hAnsi="宋体" w:cs="宋体"/>
          <w:b/>
          <w:kern w:val="0"/>
          <w:sz w:val="30"/>
          <w:szCs w:val="20"/>
        </w:rPr>
        <w:t>招标编号：</w:t>
      </w:r>
      <w:r>
        <w:rPr>
          <w:rFonts w:ascii="宋体" w:hAnsi="宋体" w:cs="宋体"/>
          <w:b/>
          <w:bCs/>
          <w:kern w:val="0"/>
          <w:sz w:val="32"/>
          <w:szCs w:val="32"/>
        </w:rPr>
        <w:t xml:space="preserve"> </w:t>
      </w:r>
    </w:p>
    <w:p>
      <w:pPr>
        <w:widowControl/>
        <w:spacing w:line="360" w:lineRule="auto"/>
        <w:jc w:val="center"/>
        <w:rPr>
          <w:rFonts w:ascii="宋体" w:hAnsi="宋体" w:cs="宋体"/>
          <w:b/>
          <w:bCs/>
          <w:kern w:val="0"/>
          <w:sz w:val="32"/>
          <w:szCs w:val="32"/>
        </w:rPr>
      </w:pPr>
    </w:p>
    <w:p>
      <w:pPr>
        <w:widowControl/>
        <w:spacing w:line="360" w:lineRule="auto"/>
        <w:jc w:val="center"/>
        <w:rPr>
          <w:rFonts w:ascii="宋体" w:hAnsi="宋体" w:cs="宋体"/>
          <w:b/>
          <w:bCs/>
          <w:kern w:val="0"/>
          <w:sz w:val="32"/>
          <w:szCs w:val="32"/>
        </w:rPr>
      </w:pPr>
    </w:p>
    <w:p>
      <w:pPr>
        <w:widowControl/>
        <w:spacing w:line="360" w:lineRule="auto"/>
        <w:jc w:val="center"/>
        <w:rPr>
          <w:rFonts w:ascii="宋体" w:hAnsi="宋体" w:cs="宋体"/>
          <w:b/>
          <w:bCs/>
          <w:kern w:val="0"/>
          <w:sz w:val="32"/>
          <w:szCs w:val="32"/>
        </w:rPr>
      </w:pPr>
    </w:p>
    <w:p>
      <w:pPr>
        <w:widowControl/>
        <w:spacing w:line="360" w:lineRule="auto"/>
        <w:jc w:val="center"/>
        <w:rPr>
          <w:rFonts w:ascii="宋体" w:hAnsi="宋体" w:cs="宋体"/>
          <w:b/>
          <w:bCs/>
          <w:kern w:val="0"/>
          <w:sz w:val="32"/>
          <w:szCs w:val="32"/>
        </w:rPr>
      </w:pPr>
    </w:p>
    <w:p>
      <w:pPr>
        <w:widowControl/>
        <w:spacing w:line="360" w:lineRule="auto"/>
        <w:jc w:val="center"/>
        <w:rPr>
          <w:rFonts w:ascii="宋体" w:hAnsi="宋体" w:cs="宋体"/>
          <w:b/>
          <w:bCs/>
          <w:kern w:val="0"/>
          <w:sz w:val="32"/>
          <w:szCs w:val="32"/>
        </w:rPr>
      </w:pPr>
    </w:p>
    <w:p>
      <w:pPr>
        <w:spacing w:line="360" w:lineRule="auto"/>
        <w:jc w:val="center"/>
        <w:rPr>
          <w:rFonts w:ascii="宋体" w:hAnsi="宋体"/>
          <w:sz w:val="28"/>
          <w:szCs w:val="28"/>
        </w:rPr>
      </w:pPr>
      <w:r>
        <w:rPr>
          <w:rFonts w:hint="eastAsia" w:ascii="宋体" w:hAnsi="宋体"/>
          <w:sz w:val="28"/>
          <w:szCs w:val="28"/>
        </w:rPr>
        <w:t>投标人：</w:t>
      </w:r>
      <w:r>
        <w:rPr>
          <w:rFonts w:hint="eastAsia" w:ascii="宋体" w:hAnsi="宋体"/>
          <w:sz w:val="28"/>
          <w:szCs w:val="28"/>
          <w:u w:val="single"/>
        </w:rPr>
        <w:t xml:space="preserve">                               </w:t>
      </w:r>
      <w:r>
        <w:rPr>
          <w:rFonts w:hint="eastAsia" w:ascii="宋体" w:hAnsi="宋体"/>
          <w:sz w:val="28"/>
          <w:szCs w:val="28"/>
        </w:rPr>
        <w:t>（盖单位章）</w:t>
      </w:r>
    </w:p>
    <w:p>
      <w:pPr>
        <w:spacing w:line="360" w:lineRule="auto"/>
        <w:jc w:val="center"/>
        <w:rPr>
          <w:rFonts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rPr>
        <w:t xml:space="preserve">                 </w:t>
      </w:r>
      <w:r>
        <w:rPr>
          <w:rFonts w:hint="eastAsia" w:ascii="宋体" w:hAnsi="宋体"/>
          <w:sz w:val="28"/>
          <w:szCs w:val="28"/>
        </w:rPr>
        <w:t>（签字或盖章）</w:t>
      </w:r>
    </w:p>
    <w:p>
      <w:pPr>
        <w:spacing w:line="360" w:lineRule="auto"/>
        <w:jc w:val="center"/>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pacing w:line="360" w:lineRule="auto"/>
        <w:jc w:val="center"/>
        <w:rPr>
          <w:rFonts w:ascii="宋体" w:hAnsi="宋体"/>
          <w:b/>
          <w:sz w:val="32"/>
          <w:szCs w:val="32"/>
        </w:rPr>
      </w:pPr>
      <w:r>
        <w:rPr>
          <w:rFonts w:ascii="宋体" w:hAnsi="宋体"/>
          <w:sz w:val="28"/>
          <w:szCs w:val="28"/>
        </w:rPr>
        <w:br w:type="page"/>
      </w:r>
      <w:r>
        <w:rPr>
          <w:rFonts w:hint="eastAsia" w:ascii="宋体" w:hAnsi="宋体"/>
          <w:b/>
          <w:sz w:val="32"/>
          <w:szCs w:val="32"/>
        </w:rPr>
        <w:t>目  录</w:t>
      </w:r>
    </w:p>
    <w:p>
      <w:pPr>
        <w:spacing w:line="360" w:lineRule="auto"/>
        <w:ind w:left="840" w:leftChars="400"/>
        <w:rPr>
          <w:rFonts w:ascii="宋体" w:hAnsi="宋体"/>
          <w:szCs w:val="21"/>
        </w:rPr>
      </w:pPr>
      <w:r>
        <w:rPr>
          <w:rFonts w:hint="eastAsia" w:ascii="宋体" w:hAnsi="宋体"/>
          <w:szCs w:val="21"/>
        </w:rPr>
        <w:t>一、投标函</w:t>
      </w:r>
    </w:p>
    <w:p>
      <w:pPr>
        <w:spacing w:line="360" w:lineRule="auto"/>
        <w:ind w:left="840" w:leftChars="400"/>
        <w:rPr>
          <w:rFonts w:ascii="宋体" w:hAnsi="宋体"/>
          <w:szCs w:val="21"/>
        </w:rPr>
      </w:pPr>
      <w:r>
        <w:rPr>
          <w:rFonts w:hint="eastAsia" w:ascii="宋体" w:hAnsi="宋体"/>
          <w:szCs w:val="21"/>
        </w:rPr>
        <w:t>二、法定代表人身份证明</w:t>
      </w:r>
    </w:p>
    <w:p>
      <w:pPr>
        <w:spacing w:line="360" w:lineRule="auto"/>
        <w:ind w:left="840" w:leftChars="400"/>
        <w:rPr>
          <w:rFonts w:ascii="宋体" w:hAnsi="宋体"/>
          <w:szCs w:val="21"/>
        </w:rPr>
      </w:pPr>
      <w:r>
        <w:rPr>
          <w:rFonts w:hint="eastAsia" w:ascii="宋体" w:hAnsi="宋体"/>
          <w:szCs w:val="21"/>
        </w:rPr>
        <w:t>三、授权委托书（如有）</w:t>
      </w:r>
    </w:p>
    <w:p>
      <w:pPr>
        <w:spacing w:line="360" w:lineRule="auto"/>
        <w:ind w:left="840" w:leftChars="400"/>
        <w:rPr>
          <w:rFonts w:ascii="宋体" w:hAnsi="宋体"/>
          <w:szCs w:val="21"/>
        </w:rPr>
      </w:pPr>
      <w:r>
        <w:rPr>
          <w:rFonts w:hint="eastAsia" w:ascii="宋体" w:hAnsi="宋体"/>
          <w:szCs w:val="21"/>
        </w:rPr>
        <w:t>四、投标保证金</w:t>
      </w:r>
    </w:p>
    <w:p>
      <w:pPr>
        <w:spacing w:line="360" w:lineRule="auto"/>
        <w:ind w:left="840" w:leftChars="400"/>
        <w:rPr>
          <w:rFonts w:ascii="宋体" w:hAnsi="宋体"/>
          <w:szCs w:val="21"/>
        </w:rPr>
      </w:pPr>
      <w:r>
        <w:rPr>
          <w:rFonts w:hint="eastAsia" w:ascii="宋体" w:hAnsi="宋体"/>
          <w:szCs w:val="21"/>
        </w:rPr>
        <w:t>五、</w:t>
      </w:r>
      <w:r>
        <w:t>投标保证金退还声明</w:t>
      </w:r>
    </w:p>
    <w:p>
      <w:pPr>
        <w:spacing w:line="360" w:lineRule="auto"/>
        <w:ind w:left="840" w:leftChars="400"/>
        <w:rPr>
          <w:rFonts w:ascii="宋体" w:hAnsi="宋体"/>
          <w:szCs w:val="21"/>
        </w:rPr>
      </w:pPr>
      <w:r>
        <w:rPr>
          <w:rFonts w:hint="eastAsia" w:ascii="宋体" w:hAnsi="宋体"/>
          <w:szCs w:val="21"/>
        </w:rPr>
        <w:t>六、投标报价表</w:t>
      </w:r>
    </w:p>
    <w:p>
      <w:pPr>
        <w:spacing w:line="360" w:lineRule="auto"/>
        <w:ind w:left="840" w:leftChars="400"/>
        <w:rPr>
          <w:rFonts w:ascii="宋体" w:hAnsi="宋体"/>
          <w:szCs w:val="21"/>
        </w:rPr>
      </w:pPr>
      <w:r>
        <w:rPr>
          <w:rFonts w:hint="eastAsia" w:ascii="宋体" w:hAnsi="宋体"/>
          <w:szCs w:val="21"/>
        </w:rPr>
        <w:t>七、</w:t>
      </w:r>
      <w:r>
        <w:rPr>
          <w:rFonts w:hint="eastAsia" w:ascii="宋体" w:hAnsi="宋体"/>
          <w:bCs/>
          <w:szCs w:val="21"/>
        </w:rPr>
        <w:t>投标报价说明</w:t>
      </w:r>
    </w:p>
    <w:p>
      <w:pPr>
        <w:spacing w:line="360" w:lineRule="auto"/>
        <w:ind w:left="840" w:leftChars="400"/>
        <w:rPr>
          <w:rFonts w:ascii="宋体" w:hAnsi="宋体"/>
          <w:szCs w:val="21"/>
        </w:rPr>
      </w:pPr>
      <w:r>
        <w:rPr>
          <w:rFonts w:hint="eastAsia" w:ascii="宋体" w:hAnsi="宋体"/>
          <w:szCs w:val="21"/>
        </w:rPr>
        <w:t>八、</w:t>
      </w:r>
      <w:r>
        <w:rPr>
          <w:rFonts w:hint="eastAsia" w:ascii="宋体" w:hAnsi="宋体"/>
          <w:szCs w:val="21"/>
          <w:lang w:eastAsia="zh-CN"/>
        </w:rPr>
        <w:t>服务</w:t>
      </w:r>
      <w:r>
        <w:rPr>
          <w:rFonts w:hint="eastAsia" w:ascii="宋体" w:hAnsi="宋体"/>
          <w:szCs w:val="21"/>
        </w:rPr>
        <w:t>方案（技术部分）</w:t>
      </w:r>
    </w:p>
    <w:p>
      <w:pPr>
        <w:pStyle w:val="6"/>
        <w:spacing w:before="57"/>
        <w:ind w:right="134" w:firstLine="840" w:firstLineChars="400"/>
        <w:rPr>
          <w:rFonts w:hint="eastAsia"/>
          <w:b w:val="0"/>
          <w:sz w:val="21"/>
          <w:szCs w:val="21"/>
        </w:rPr>
      </w:pPr>
      <w:r>
        <w:rPr>
          <w:rFonts w:hint="eastAsia" w:ascii="宋体" w:hAnsi="宋体"/>
          <w:b w:val="0"/>
          <w:bCs w:val="0"/>
          <w:kern w:val="2"/>
          <w:sz w:val="21"/>
          <w:szCs w:val="21"/>
        </w:rPr>
        <w:t>九、</w:t>
      </w:r>
      <w:r>
        <w:rPr>
          <w:b w:val="0"/>
          <w:sz w:val="21"/>
          <w:szCs w:val="21"/>
        </w:rPr>
        <w:t>无重大违法记录声明函、无不良信用记录声明函、无行贿犯罪记录承诺函</w:t>
      </w:r>
    </w:p>
    <w:p>
      <w:pPr>
        <w:spacing w:line="360" w:lineRule="auto"/>
        <w:ind w:left="840" w:leftChars="400"/>
        <w:rPr>
          <w:rFonts w:ascii="宋体" w:hAnsi="宋体"/>
          <w:szCs w:val="21"/>
        </w:rPr>
      </w:pPr>
      <w:r>
        <w:rPr>
          <w:rFonts w:hint="eastAsia" w:ascii="宋体" w:hAnsi="宋体"/>
          <w:szCs w:val="21"/>
        </w:rPr>
        <w:t>十、资格审查资料</w:t>
      </w:r>
    </w:p>
    <w:p>
      <w:pPr>
        <w:spacing w:line="360" w:lineRule="auto"/>
        <w:ind w:left="840" w:leftChars="400"/>
        <w:rPr>
          <w:rFonts w:ascii="宋体" w:hAnsi="宋体"/>
          <w:szCs w:val="21"/>
        </w:rPr>
      </w:pPr>
      <w:r>
        <w:rPr>
          <w:rFonts w:hint="eastAsia" w:ascii="宋体" w:hAnsi="宋体"/>
          <w:szCs w:val="21"/>
        </w:rPr>
        <w:t>十一、投标人类似业绩情况表；</w:t>
      </w:r>
    </w:p>
    <w:p>
      <w:pPr>
        <w:spacing w:line="360" w:lineRule="auto"/>
        <w:ind w:left="840" w:leftChars="400"/>
        <w:rPr>
          <w:rFonts w:ascii="宋体" w:hAnsi="宋体"/>
          <w:szCs w:val="21"/>
        </w:rPr>
      </w:pPr>
      <w:r>
        <w:rPr>
          <w:rFonts w:hint="eastAsia" w:ascii="宋体" w:hAnsi="宋体"/>
          <w:szCs w:val="21"/>
        </w:rPr>
        <w:t>十二、其他材料</w:t>
      </w:r>
    </w:p>
    <w:p>
      <w:pPr>
        <w:spacing w:line="360" w:lineRule="auto"/>
        <w:jc w:val="center"/>
        <w:outlineLvl w:val="1"/>
        <w:rPr>
          <w:rFonts w:ascii="宋体" w:hAnsi="宋体"/>
          <w:b/>
          <w:sz w:val="28"/>
          <w:szCs w:val="28"/>
        </w:rPr>
      </w:pPr>
      <w:r>
        <w:rPr>
          <w:rFonts w:ascii="宋体" w:hAnsi="宋体"/>
          <w:szCs w:val="21"/>
        </w:rPr>
        <w:br w:type="page"/>
      </w:r>
      <w:bookmarkStart w:id="301" w:name="_Toc353448532"/>
      <w:bookmarkStart w:id="302" w:name="_Toc394068453"/>
      <w:r>
        <w:rPr>
          <w:rFonts w:hint="eastAsia" w:ascii="宋体" w:hAnsi="宋体"/>
          <w:b/>
          <w:sz w:val="32"/>
          <w:szCs w:val="32"/>
        </w:rPr>
        <w:t>一、投标函</w:t>
      </w:r>
      <w:bookmarkEnd w:id="301"/>
      <w:bookmarkEnd w:id="302"/>
    </w:p>
    <w:p>
      <w:pPr>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（招标人名称）</w:t>
      </w:r>
    </w:p>
    <w:p>
      <w:pPr>
        <w:spacing w:line="360" w:lineRule="auto"/>
        <w:ind w:firstLine="420" w:firstLineChars="200"/>
        <w:rPr>
          <w:rFonts w:ascii="宋体" w:hAnsi="宋体"/>
          <w:szCs w:val="21"/>
        </w:rPr>
      </w:pPr>
      <w:r>
        <w:rPr>
          <w:rFonts w:hint="eastAsia" w:ascii="宋体" w:hAnsi="宋体"/>
          <w:szCs w:val="21"/>
        </w:rPr>
        <w:t>在考察现场并充分研究</w:t>
      </w:r>
      <w:r>
        <w:rPr>
          <w:rFonts w:hint="eastAsia" w:ascii="宋体" w:hAnsi="宋体"/>
          <w:szCs w:val="21"/>
          <w:u w:val="single"/>
        </w:rPr>
        <w:t xml:space="preserve">               </w:t>
      </w:r>
      <w:r>
        <w:rPr>
          <w:rFonts w:hint="eastAsia" w:ascii="宋体" w:hAnsi="宋体"/>
          <w:szCs w:val="21"/>
        </w:rPr>
        <w:t>（项目名称）招标文件的全部内容后，我方兹以：</w:t>
      </w:r>
    </w:p>
    <w:p>
      <w:pPr>
        <w:spacing w:line="360" w:lineRule="auto"/>
        <w:ind w:firstLine="420" w:firstLineChars="200"/>
        <w:rPr>
          <w:rFonts w:hint="eastAsia" w:ascii="宋体" w:hAnsi="宋体"/>
          <w:szCs w:val="21"/>
        </w:rPr>
      </w:pPr>
      <w:r>
        <w:rPr>
          <w:rFonts w:hint="eastAsia" w:ascii="宋体" w:hAnsi="宋体"/>
          <w:szCs w:val="21"/>
        </w:rPr>
        <w:t>DRG综合管理信息系统总价：人民币（大写）：</w:t>
      </w:r>
      <w:r>
        <w:rPr>
          <w:rFonts w:hint="eastAsia" w:ascii="宋体" w:hAnsi="宋体"/>
          <w:szCs w:val="21"/>
          <w:u w:val="single"/>
        </w:rPr>
        <w:t xml:space="preserve">              </w:t>
      </w:r>
      <w:r>
        <w:rPr>
          <w:rFonts w:hint="eastAsia" w:ascii="宋体" w:hAnsi="宋体"/>
          <w:szCs w:val="21"/>
        </w:rPr>
        <w:t>元，（小写￥：</w:t>
      </w:r>
      <w:r>
        <w:rPr>
          <w:rFonts w:hint="eastAsia" w:ascii="宋体" w:hAnsi="宋体"/>
          <w:szCs w:val="21"/>
          <w:u w:val="single"/>
        </w:rPr>
        <w:t xml:space="preserve">       </w:t>
      </w:r>
      <w:r>
        <w:rPr>
          <w:rFonts w:hint="eastAsia" w:ascii="宋体" w:hAnsi="宋体"/>
          <w:szCs w:val="21"/>
        </w:rPr>
        <w:t>元）</w:t>
      </w:r>
    </w:p>
    <w:p>
      <w:pPr>
        <w:spacing w:line="360" w:lineRule="auto"/>
        <w:ind w:firstLine="420" w:firstLineChars="200"/>
        <w:rPr>
          <w:rFonts w:hint="default" w:ascii="宋体" w:hAnsi="宋体" w:eastAsia="宋体"/>
          <w:szCs w:val="21"/>
          <w:lang w:val="en-US" w:eastAsia="zh-CN"/>
        </w:rPr>
      </w:pPr>
      <w:r>
        <w:rPr>
          <w:rFonts w:hint="eastAsia" w:ascii="宋体" w:hAnsi="宋体"/>
          <w:szCs w:val="21"/>
        </w:rPr>
        <w:t>三年期后每年系统维护费</w:t>
      </w:r>
      <w:r>
        <w:rPr>
          <w:rFonts w:hint="eastAsia" w:ascii="宋体" w:hAnsi="宋体"/>
          <w:szCs w:val="21"/>
          <w:u w:val="single"/>
          <w:lang w:val="en-US" w:eastAsia="zh-CN"/>
        </w:rPr>
        <w:t xml:space="preserve">   </w:t>
      </w:r>
      <w:r>
        <w:rPr>
          <w:rFonts w:hint="eastAsia" w:ascii="宋体" w:hAnsi="宋体"/>
          <w:szCs w:val="21"/>
          <w:lang w:val="en-US" w:eastAsia="zh-CN"/>
        </w:rPr>
        <w:t>% （横线部位填写阿拉伯数字）</w:t>
      </w:r>
    </w:p>
    <w:p>
      <w:pPr>
        <w:spacing w:line="360" w:lineRule="auto"/>
        <w:ind w:firstLine="420" w:firstLineChars="200"/>
        <w:rPr>
          <w:rFonts w:ascii="宋体" w:hAnsi="宋体"/>
          <w:szCs w:val="21"/>
        </w:rPr>
      </w:pPr>
      <w:r>
        <w:rPr>
          <w:rFonts w:hint="eastAsia" w:ascii="宋体" w:hAnsi="宋体"/>
          <w:szCs w:val="21"/>
        </w:rPr>
        <w:t>的投标价格，并严格按照合同约定、业主需求书、国家及地方的相关规定承接本项目。</w:t>
      </w:r>
    </w:p>
    <w:p>
      <w:pPr>
        <w:spacing w:line="360" w:lineRule="auto"/>
        <w:ind w:firstLine="420" w:firstLineChars="200"/>
        <w:rPr>
          <w:rFonts w:ascii="宋体" w:hAnsi="宋体"/>
          <w:szCs w:val="21"/>
        </w:rPr>
      </w:pPr>
      <w:r>
        <w:rPr>
          <w:rFonts w:hint="eastAsia" w:ascii="宋体" w:hAnsi="宋体"/>
          <w:szCs w:val="21"/>
        </w:rPr>
        <w:t>我方同意本投标函在招标文件规定的提交投标文件截止时间后，在招标文件规定的投标有效期期满前对我方具有约束力，且随时准备接受你方发出的中标通知书。</w:t>
      </w:r>
    </w:p>
    <w:p>
      <w:pPr>
        <w:spacing w:line="360" w:lineRule="auto"/>
        <w:ind w:firstLine="420" w:firstLineChars="200"/>
        <w:rPr>
          <w:rFonts w:ascii="宋体" w:hAnsi="宋体"/>
          <w:szCs w:val="21"/>
        </w:rPr>
      </w:pPr>
      <w:r>
        <w:rPr>
          <w:rFonts w:hint="eastAsia" w:ascii="宋体" w:hAnsi="宋体"/>
          <w:szCs w:val="21"/>
        </w:rPr>
        <w:t>随本投标函递交的投标文件是本投标函的组成部分，对我方构成约束力。</w:t>
      </w:r>
    </w:p>
    <w:p>
      <w:pPr>
        <w:spacing w:line="360" w:lineRule="auto"/>
        <w:ind w:firstLine="420" w:firstLineChars="200"/>
        <w:rPr>
          <w:rFonts w:ascii="宋体" w:hAnsi="宋体"/>
          <w:szCs w:val="21"/>
        </w:rPr>
      </w:pPr>
      <w:r>
        <w:rPr>
          <w:rFonts w:hint="eastAsia" w:ascii="宋体" w:hAnsi="宋体"/>
          <w:szCs w:val="21"/>
        </w:rPr>
        <w:t>随同本投标函递交投标保证金一份，金额为人民币（大写）：</w:t>
      </w:r>
      <w:r>
        <w:rPr>
          <w:rFonts w:hint="eastAsia" w:ascii="宋体" w:hAnsi="宋体"/>
          <w:szCs w:val="21"/>
          <w:u w:val="single"/>
        </w:rPr>
        <w:t xml:space="preserve">          </w:t>
      </w:r>
      <w:r>
        <w:rPr>
          <w:rFonts w:hint="eastAsia" w:ascii="宋体" w:hAnsi="宋体"/>
          <w:szCs w:val="21"/>
        </w:rPr>
        <w:t>元（￥：</w:t>
      </w:r>
      <w:r>
        <w:rPr>
          <w:rFonts w:hint="eastAsia" w:ascii="宋体" w:hAnsi="宋体"/>
          <w:szCs w:val="21"/>
          <w:u w:val="single"/>
        </w:rPr>
        <w:t xml:space="preserve">     </w:t>
      </w:r>
      <w:r>
        <w:rPr>
          <w:rFonts w:hint="eastAsia" w:ascii="宋体" w:hAnsi="宋体"/>
          <w:szCs w:val="21"/>
        </w:rPr>
        <w:t>元）。</w:t>
      </w:r>
    </w:p>
    <w:p>
      <w:pPr>
        <w:spacing w:line="360" w:lineRule="auto"/>
        <w:ind w:firstLine="420" w:firstLineChars="200"/>
        <w:rPr>
          <w:rFonts w:ascii="宋体" w:hAnsi="宋体"/>
          <w:szCs w:val="21"/>
        </w:rPr>
      </w:pPr>
      <w:r>
        <w:rPr>
          <w:rFonts w:hint="eastAsia" w:ascii="宋体" w:hAnsi="宋体"/>
          <w:szCs w:val="21"/>
        </w:rPr>
        <w:t>在签署协议书之前，你方的中标通知书连同本投标函，对双方具有约束力。</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投标人（盖章）：</w:t>
      </w:r>
    </w:p>
    <w:p>
      <w:pPr>
        <w:spacing w:line="360" w:lineRule="auto"/>
        <w:ind w:firstLine="420" w:firstLineChars="200"/>
        <w:rPr>
          <w:rFonts w:ascii="宋体" w:hAnsi="宋体"/>
          <w:szCs w:val="21"/>
        </w:rPr>
      </w:pPr>
      <w:r>
        <w:rPr>
          <w:rFonts w:hint="eastAsia" w:ascii="宋体" w:hAnsi="宋体"/>
          <w:szCs w:val="21"/>
        </w:rPr>
        <w:t>法人代表或委托代理人（签字或盖章）：</w:t>
      </w:r>
    </w:p>
    <w:p>
      <w:pPr>
        <w:spacing w:line="360" w:lineRule="auto"/>
        <w:ind w:firstLine="420" w:firstLineChars="200"/>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ind w:firstLine="420" w:firstLineChars="200"/>
        <w:jc w:val="center"/>
        <w:rPr>
          <w:rFonts w:ascii="宋体" w:hAnsi="宋体"/>
          <w:szCs w:val="21"/>
        </w:rPr>
        <w:sectPr>
          <w:pgSz w:w="11906" w:h="16838"/>
          <w:pgMar w:top="1440" w:right="1800" w:bottom="1440" w:left="1800" w:header="851" w:footer="851" w:gutter="0"/>
          <w:cols w:space="720" w:num="1"/>
          <w:docGrid w:type="linesAndChars" w:linePitch="312" w:charSpace="0"/>
        </w:sectPr>
      </w:pPr>
    </w:p>
    <w:p>
      <w:pPr>
        <w:spacing w:line="360" w:lineRule="auto"/>
        <w:jc w:val="center"/>
        <w:outlineLvl w:val="1"/>
        <w:rPr>
          <w:rFonts w:ascii="宋体" w:hAnsi="宋体"/>
          <w:b/>
          <w:sz w:val="32"/>
          <w:szCs w:val="32"/>
        </w:rPr>
      </w:pPr>
      <w:bookmarkStart w:id="303" w:name="_Toc353448533"/>
      <w:bookmarkStart w:id="304" w:name="_Toc394068454"/>
      <w:r>
        <w:rPr>
          <w:rFonts w:hint="eastAsia" w:ascii="宋体" w:hAnsi="宋体"/>
          <w:b/>
          <w:sz w:val="32"/>
          <w:szCs w:val="32"/>
        </w:rPr>
        <w:t>二、法定代表人身份证明</w:t>
      </w:r>
      <w:bookmarkEnd w:id="303"/>
      <w:bookmarkEnd w:id="304"/>
    </w:p>
    <w:p>
      <w:pPr>
        <w:spacing w:line="360" w:lineRule="auto"/>
        <w:rPr>
          <w:rFonts w:ascii="宋体" w:hAnsi="宋体"/>
          <w:szCs w:val="21"/>
        </w:rPr>
      </w:pPr>
      <w:r>
        <w:rPr>
          <w:rFonts w:hint="eastAsia" w:ascii="宋体" w:hAnsi="宋体"/>
          <w:szCs w:val="21"/>
        </w:rPr>
        <w:t>投 标 人：</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单位性质：</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地    址：</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rPr>
          <w:rFonts w:ascii="宋体" w:hAnsi="宋体"/>
          <w:szCs w:val="21"/>
        </w:rPr>
      </w:pPr>
      <w:r>
        <w:rPr>
          <w:rFonts w:hint="eastAsia" w:ascii="宋体" w:hAnsi="宋体"/>
          <w:szCs w:val="21"/>
        </w:rPr>
        <w:t>经营期限：</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姓    名：</w:t>
      </w:r>
      <w:r>
        <w:rPr>
          <w:rFonts w:hint="eastAsia" w:ascii="宋体" w:hAnsi="宋体"/>
          <w:szCs w:val="21"/>
          <w:u w:val="single"/>
        </w:rPr>
        <w:t xml:space="preserve">                          </w:t>
      </w:r>
      <w:r>
        <w:rPr>
          <w:rFonts w:hint="eastAsia" w:ascii="宋体" w:hAnsi="宋体"/>
          <w:szCs w:val="21"/>
        </w:rPr>
        <w:t>性        别：</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年    龄：</w:t>
      </w:r>
      <w:r>
        <w:rPr>
          <w:rFonts w:hint="eastAsia" w:ascii="宋体" w:hAnsi="宋体"/>
          <w:szCs w:val="21"/>
          <w:u w:val="single"/>
        </w:rPr>
        <w:t xml:space="preserve">                          </w:t>
      </w:r>
      <w:r>
        <w:rPr>
          <w:rFonts w:hint="eastAsia" w:ascii="宋体" w:hAnsi="宋体"/>
          <w:szCs w:val="21"/>
        </w:rPr>
        <w:t>职        务：</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系</w:t>
      </w:r>
      <w:r>
        <w:rPr>
          <w:rFonts w:hint="eastAsia" w:ascii="宋体" w:hAnsi="宋体"/>
          <w:szCs w:val="21"/>
          <w:u w:val="single"/>
        </w:rPr>
        <w:t xml:space="preserve">                                                 </w:t>
      </w:r>
      <w:r>
        <w:rPr>
          <w:rFonts w:hint="eastAsia" w:ascii="宋体" w:hAnsi="宋体"/>
          <w:szCs w:val="21"/>
        </w:rPr>
        <w:t>（投标人名称）的法定代表人。</w:t>
      </w:r>
    </w:p>
    <w:p>
      <w:pPr>
        <w:spacing w:line="360" w:lineRule="auto"/>
        <w:rPr>
          <w:rFonts w:ascii="宋体" w:hAnsi="宋体"/>
          <w:szCs w:val="21"/>
        </w:rPr>
      </w:pPr>
      <w:r>
        <w:rPr>
          <w:rFonts w:hint="eastAsia" w:ascii="宋体" w:hAnsi="宋体"/>
          <w:szCs w:val="21"/>
        </w:rPr>
        <w:t>特此证明。</w:t>
      </w:r>
    </w:p>
    <w:p>
      <w:pPr>
        <w:spacing w:line="360" w:lineRule="auto"/>
        <w:rPr>
          <w:rFonts w:ascii="宋体" w:hAnsi="宋体"/>
          <w:szCs w:val="21"/>
        </w:rPr>
      </w:pPr>
    </w:p>
    <w:p>
      <w:pPr>
        <w:spacing w:line="360" w:lineRule="auto"/>
        <w:rPr>
          <w:rFonts w:ascii="宋体" w:hAnsi="宋体"/>
          <w:szCs w:val="21"/>
        </w:rPr>
      </w:pPr>
    </w:p>
    <w:p>
      <w:pPr>
        <w:spacing w:line="360" w:lineRule="auto"/>
        <w:jc w:val="right"/>
        <w:rPr>
          <w:rFonts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pPr>
        <w:spacing w:line="360" w:lineRule="auto"/>
        <w:jc w:val="right"/>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pPr>
        <w:spacing w:line="360" w:lineRule="auto"/>
        <w:rPr>
          <w:rFonts w:ascii="宋体" w:hAnsi="宋体"/>
        </w:rPr>
      </w:pPr>
    </w:p>
    <w:p>
      <w:pPr>
        <w:spacing w:line="360" w:lineRule="auto"/>
        <w:rPr>
          <w:rFonts w:ascii="宋体" w:hAnsi="宋体"/>
        </w:rPr>
      </w:pPr>
      <w:r>
        <w:rPr>
          <w:rFonts w:hint="eastAsia" w:ascii="宋体" w:hAnsi="宋体"/>
          <w:szCs w:val="21"/>
        </w:rPr>
        <w:t>注：附法定代表人的身份证复印件（正、反面）。</w:t>
      </w:r>
    </w:p>
    <w:p>
      <w:pPr>
        <w:spacing w:line="360" w:lineRule="auto"/>
        <w:jc w:val="center"/>
        <w:outlineLvl w:val="1"/>
        <w:rPr>
          <w:rFonts w:ascii="宋体" w:hAnsi="宋体"/>
          <w:b/>
          <w:sz w:val="32"/>
          <w:szCs w:val="32"/>
        </w:rPr>
      </w:pPr>
      <w:r>
        <w:rPr>
          <w:rFonts w:ascii="宋体" w:hAnsi="宋体"/>
          <w:szCs w:val="21"/>
        </w:rPr>
        <w:br w:type="page"/>
      </w:r>
      <w:bookmarkStart w:id="305" w:name="_Toc394068455"/>
      <w:bookmarkStart w:id="306" w:name="_Toc353448534"/>
      <w:r>
        <w:rPr>
          <w:rFonts w:hint="eastAsia" w:ascii="宋体" w:hAnsi="宋体"/>
          <w:b/>
          <w:sz w:val="32"/>
          <w:szCs w:val="32"/>
        </w:rPr>
        <w:t>三、授权委托书</w:t>
      </w:r>
      <w:bookmarkEnd w:id="305"/>
      <w:bookmarkEnd w:id="306"/>
    </w:p>
    <w:p>
      <w:pPr>
        <w:spacing w:line="360" w:lineRule="auto"/>
        <w:ind w:firstLine="420" w:firstLineChars="200"/>
        <w:rPr>
          <w:rFonts w:ascii="宋体" w:hAnsi="宋体"/>
          <w:szCs w:val="21"/>
        </w:rPr>
      </w:pPr>
      <w:r>
        <w:rPr>
          <w:rFonts w:hint="eastAsia" w:ascii="宋体" w:hAnsi="宋体"/>
          <w:szCs w:val="21"/>
        </w:rPr>
        <w:t>本人</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（投标人名称）的法定代表人，现委托</w:t>
      </w:r>
      <w:r>
        <w:rPr>
          <w:rFonts w:hint="eastAsia" w:ascii="宋体" w:hAnsi="宋体"/>
          <w:szCs w:val="21"/>
          <w:u w:val="single"/>
        </w:rPr>
        <w:t xml:space="preserve">      </w:t>
      </w:r>
      <w:r>
        <w:rPr>
          <w:rFonts w:hint="eastAsia" w:ascii="宋体" w:hAnsi="宋体"/>
          <w:szCs w:val="21"/>
        </w:rPr>
        <w:t>（姓名）为我方代理人。代理人根据授权，以我方名义签署、澄清、说明、补正、递交、撤回、修改</w:t>
      </w:r>
      <w:r>
        <w:rPr>
          <w:rFonts w:hint="eastAsia" w:ascii="宋体" w:hAnsi="宋体"/>
          <w:szCs w:val="21"/>
          <w:u w:val="single"/>
        </w:rPr>
        <w:t xml:space="preserve">                    </w:t>
      </w:r>
      <w:r>
        <w:rPr>
          <w:rFonts w:hint="eastAsia" w:ascii="宋体" w:hAnsi="宋体"/>
          <w:szCs w:val="21"/>
        </w:rPr>
        <w:t>（项目名称）投标文件、签订合同和处理有关事宜，其法律后果由我方承担。</w:t>
      </w:r>
    </w:p>
    <w:p>
      <w:pPr>
        <w:spacing w:line="360" w:lineRule="auto"/>
        <w:ind w:firstLine="420" w:firstLineChars="200"/>
        <w:rPr>
          <w:rFonts w:ascii="宋体" w:hAnsi="宋体"/>
          <w:szCs w:val="21"/>
        </w:rPr>
      </w:pPr>
      <w:r>
        <w:rPr>
          <w:rFonts w:hint="eastAsia" w:ascii="宋体" w:hAnsi="宋体"/>
          <w:szCs w:val="21"/>
        </w:rPr>
        <w:t>委托期限：</w:t>
      </w:r>
      <w:r>
        <w:rPr>
          <w:rFonts w:hint="eastAsia" w:ascii="宋体" w:hAnsi="宋体"/>
          <w:szCs w:val="21"/>
          <w:u w:val="single"/>
        </w:rPr>
        <w:t xml:space="preserve">                                                          </w:t>
      </w:r>
    </w:p>
    <w:p>
      <w:pPr>
        <w:spacing w:line="360" w:lineRule="auto"/>
        <w:ind w:firstLine="1260" w:firstLineChars="600"/>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代理人无转委托权。</w:t>
      </w:r>
    </w:p>
    <w:p>
      <w:pPr>
        <w:spacing w:line="360" w:lineRule="auto"/>
        <w:rPr>
          <w:rFonts w:ascii="宋体" w:hAnsi="宋体"/>
          <w:szCs w:val="21"/>
        </w:rPr>
      </w:pPr>
    </w:p>
    <w:p>
      <w:pPr>
        <w:spacing w:line="360" w:lineRule="auto"/>
        <w:ind w:firstLine="3570" w:firstLineChars="1700"/>
        <w:rPr>
          <w:rFonts w:ascii="宋体" w:hAnsi="宋体"/>
          <w:szCs w:val="21"/>
        </w:rPr>
      </w:pPr>
      <w:r>
        <w:rPr>
          <w:rFonts w:hint="eastAsia" w:ascii="宋体" w:hAnsi="宋体"/>
          <w:szCs w:val="21"/>
        </w:rPr>
        <w:t>投  标  人：</w:t>
      </w:r>
      <w:r>
        <w:rPr>
          <w:rFonts w:hint="eastAsia" w:ascii="宋体" w:hAnsi="宋体"/>
          <w:szCs w:val="21"/>
          <w:u w:val="single"/>
        </w:rPr>
        <w:t xml:space="preserve">                        </w:t>
      </w:r>
      <w:r>
        <w:rPr>
          <w:rFonts w:hint="eastAsia" w:ascii="宋体" w:hAnsi="宋体"/>
          <w:szCs w:val="21"/>
        </w:rPr>
        <w:t>（盖单位章）</w:t>
      </w:r>
    </w:p>
    <w:p>
      <w:pPr>
        <w:spacing w:line="360" w:lineRule="auto"/>
        <w:ind w:firstLine="3570" w:firstLineChars="1700"/>
        <w:rPr>
          <w:rFonts w:ascii="宋体" w:hAnsi="宋体"/>
          <w:szCs w:val="21"/>
        </w:rPr>
      </w:pPr>
    </w:p>
    <w:p>
      <w:pPr>
        <w:spacing w:line="360" w:lineRule="auto"/>
        <w:ind w:firstLine="3570" w:firstLineChars="1700"/>
        <w:rPr>
          <w:rFonts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（签字或盖章）</w:t>
      </w:r>
    </w:p>
    <w:p>
      <w:pPr>
        <w:spacing w:line="360" w:lineRule="auto"/>
        <w:ind w:firstLine="3570" w:firstLineChars="1700"/>
        <w:rPr>
          <w:rFonts w:ascii="宋体" w:hAnsi="宋体"/>
          <w:szCs w:val="21"/>
          <w:u w:val="single"/>
        </w:rPr>
      </w:pPr>
      <w:r>
        <w:rPr>
          <w:rFonts w:hint="eastAsia" w:ascii="宋体" w:hAnsi="宋体"/>
          <w:szCs w:val="21"/>
        </w:rPr>
        <w:t>身份证号码：</w:t>
      </w:r>
      <w:r>
        <w:rPr>
          <w:rFonts w:hint="eastAsia" w:ascii="宋体" w:hAnsi="宋体"/>
          <w:szCs w:val="21"/>
          <w:u w:val="single"/>
        </w:rPr>
        <w:t xml:space="preserve">                                   </w:t>
      </w:r>
    </w:p>
    <w:p>
      <w:pPr>
        <w:spacing w:line="360" w:lineRule="auto"/>
        <w:ind w:firstLine="3570" w:firstLineChars="1700"/>
        <w:rPr>
          <w:rFonts w:ascii="宋体" w:hAnsi="宋体"/>
          <w:szCs w:val="21"/>
          <w:u w:val="single"/>
        </w:rPr>
      </w:pPr>
    </w:p>
    <w:p>
      <w:pPr>
        <w:spacing w:line="360" w:lineRule="auto"/>
        <w:ind w:firstLine="3570" w:firstLineChars="1700"/>
        <w:rPr>
          <w:rFonts w:ascii="宋体" w:hAnsi="宋体"/>
          <w:szCs w:val="21"/>
        </w:rPr>
      </w:pPr>
      <w:r>
        <w:rPr>
          <w:rFonts w:hint="eastAsia" w:ascii="宋体" w:hAnsi="宋体"/>
          <w:szCs w:val="21"/>
        </w:rPr>
        <w:t>委托代理人：</w:t>
      </w:r>
      <w:r>
        <w:rPr>
          <w:rFonts w:hint="eastAsia" w:ascii="宋体" w:hAnsi="宋体"/>
          <w:szCs w:val="21"/>
          <w:u w:val="single"/>
        </w:rPr>
        <w:t xml:space="preserve">                            </w:t>
      </w:r>
      <w:r>
        <w:rPr>
          <w:rFonts w:hint="eastAsia" w:ascii="宋体" w:hAnsi="宋体"/>
          <w:szCs w:val="21"/>
        </w:rPr>
        <w:t>（签字）</w:t>
      </w:r>
    </w:p>
    <w:p>
      <w:pPr>
        <w:spacing w:line="360" w:lineRule="auto"/>
        <w:ind w:firstLine="3570" w:firstLineChars="1700"/>
        <w:rPr>
          <w:rFonts w:ascii="宋体" w:hAnsi="宋体"/>
          <w:szCs w:val="21"/>
          <w:u w:val="single"/>
        </w:rPr>
      </w:pPr>
      <w:r>
        <w:rPr>
          <w:rFonts w:hint="eastAsia" w:ascii="宋体" w:hAnsi="宋体"/>
          <w:szCs w:val="21"/>
        </w:rPr>
        <w:t>身份证号码：</w:t>
      </w:r>
      <w:r>
        <w:rPr>
          <w:rFonts w:hint="eastAsia" w:ascii="宋体" w:hAnsi="宋体"/>
          <w:szCs w:val="21"/>
          <w:u w:val="single"/>
        </w:rPr>
        <w:t xml:space="preserve">                                   </w:t>
      </w:r>
    </w:p>
    <w:p>
      <w:pPr>
        <w:spacing w:line="360" w:lineRule="auto"/>
        <w:ind w:firstLine="3570" w:firstLineChars="1700"/>
        <w:rPr>
          <w:rFonts w:ascii="宋体" w:hAnsi="宋体"/>
          <w:szCs w:val="21"/>
        </w:rPr>
      </w:pPr>
    </w:p>
    <w:p>
      <w:pPr>
        <w:spacing w:line="360" w:lineRule="auto"/>
        <w:ind w:firstLine="4830" w:firstLineChars="2300"/>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注：</w:t>
      </w:r>
    </w:p>
    <w:p>
      <w:pPr>
        <w:spacing w:line="360" w:lineRule="auto"/>
        <w:rPr>
          <w:rFonts w:ascii="宋体" w:hAnsi="宋体"/>
          <w:szCs w:val="21"/>
        </w:rPr>
      </w:pPr>
      <w:r>
        <w:rPr>
          <w:rFonts w:hint="eastAsia" w:ascii="宋体" w:hAnsi="宋体"/>
          <w:szCs w:val="21"/>
        </w:rPr>
        <w:t>1.附委托代理人的身份证复印件（正、反面）及</w:t>
      </w:r>
      <w:r>
        <w:rPr>
          <w:rFonts w:hint="eastAsia" w:ascii="宋体" w:hAnsi="宋体" w:cs="宋体"/>
          <w:szCs w:val="21"/>
        </w:rPr>
        <w:t>20</w:t>
      </w:r>
      <w:r>
        <w:rPr>
          <w:rFonts w:hint="eastAsia" w:ascii="宋体" w:hAnsi="宋体" w:cs="宋体"/>
          <w:szCs w:val="21"/>
          <w:lang w:val="en-US" w:eastAsia="zh-CN"/>
        </w:rPr>
        <w:t>22</w:t>
      </w:r>
      <w:r>
        <w:rPr>
          <w:rFonts w:hint="eastAsia" w:ascii="宋体" w:hAnsi="宋体" w:cs="宋体"/>
          <w:szCs w:val="21"/>
        </w:rPr>
        <w:t>年度（近半年）缴纳养老保险对账单或社保机构出具的有效证明等</w:t>
      </w:r>
      <w:r>
        <w:rPr>
          <w:rFonts w:hint="eastAsia" w:ascii="宋体" w:hAnsi="宋体"/>
          <w:szCs w:val="21"/>
        </w:rPr>
        <w:t>养老保险缴纳证明。</w:t>
      </w:r>
    </w:p>
    <w:p>
      <w:pPr>
        <w:spacing w:line="360" w:lineRule="auto"/>
        <w:rPr>
          <w:rFonts w:ascii="宋体" w:hAnsi="宋体"/>
          <w:szCs w:val="21"/>
        </w:rPr>
      </w:pPr>
      <w:r>
        <w:rPr>
          <w:rFonts w:hint="eastAsia" w:ascii="宋体" w:hAnsi="宋体"/>
          <w:szCs w:val="21"/>
        </w:rPr>
        <w:t>2.法定代表人签署递交投标文件的不需提交此授权委托书。</w:t>
      </w:r>
    </w:p>
    <w:p>
      <w:pPr>
        <w:spacing w:line="360" w:lineRule="auto"/>
        <w:jc w:val="center"/>
        <w:outlineLvl w:val="1"/>
        <w:rPr>
          <w:rFonts w:ascii="宋体" w:hAnsi="宋体"/>
          <w:b/>
          <w:sz w:val="32"/>
          <w:szCs w:val="32"/>
        </w:rPr>
      </w:pPr>
      <w:r>
        <w:rPr>
          <w:rFonts w:ascii="宋体" w:hAnsi="宋体"/>
          <w:szCs w:val="21"/>
        </w:rPr>
        <w:br w:type="page"/>
      </w:r>
      <w:bookmarkStart w:id="307" w:name="_Toc394068457"/>
      <w:bookmarkStart w:id="308" w:name="_Toc353448536"/>
      <w:r>
        <w:rPr>
          <w:rFonts w:hint="eastAsia" w:ascii="宋体" w:hAnsi="宋体"/>
          <w:b/>
          <w:sz w:val="32"/>
          <w:szCs w:val="32"/>
        </w:rPr>
        <w:t>四、投标保证金</w:t>
      </w:r>
      <w:bookmarkEnd w:id="307"/>
      <w:bookmarkEnd w:id="308"/>
      <w:r>
        <w:rPr>
          <w:rFonts w:hint="eastAsia" w:ascii="宋体" w:hAnsi="宋体"/>
          <w:b/>
          <w:sz w:val="32"/>
          <w:szCs w:val="32"/>
        </w:rPr>
        <w:t>缴纳证明</w:t>
      </w:r>
    </w:p>
    <w:p>
      <w:pPr>
        <w:spacing w:line="360" w:lineRule="auto"/>
        <w:ind w:firstLine="420" w:firstLineChars="200"/>
        <w:rPr>
          <w:rFonts w:ascii="宋体" w:hAnsi="宋体"/>
        </w:rPr>
      </w:pPr>
    </w:p>
    <w:p>
      <w:pPr>
        <w:spacing w:line="360" w:lineRule="auto"/>
        <w:ind w:firstLine="420" w:firstLineChars="200"/>
        <w:rPr>
          <w:rFonts w:ascii="宋体" w:hAnsi="宋体"/>
        </w:rPr>
      </w:pPr>
      <w:r>
        <w:rPr>
          <w:rFonts w:hint="eastAsia" w:ascii="宋体" w:hAnsi="宋体"/>
        </w:rPr>
        <w:t>（1）提供投标人的基本存款账户信息复印件并加盖投标人单位章</w:t>
      </w:r>
    </w:p>
    <w:p>
      <w:pPr>
        <w:spacing w:line="360" w:lineRule="auto"/>
        <w:ind w:firstLine="420" w:firstLineChars="200"/>
        <w:rPr>
          <w:rFonts w:ascii="宋体" w:hAnsi="宋体"/>
        </w:rPr>
      </w:pPr>
      <w:r>
        <w:rPr>
          <w:rFonts w:hint="eastAsia" w:ascii="宋体" w:hAnsi="宋体"/>
        </w:rPr>
        <w:t>（2）投标人应在此提供提交投标保证金交款凭证的复印件并加盖投标人单位章。</w:t>
      </w:r>
    </w:p>
    <w:p>
      <w:pPr>
        <w:spacing w:line="360" w:lineRule="auto"/>
        <w:ind w:firstLine="420" w:firstLineChars="200"/>
        <w:rPr>
          <w:rFonts w:ascii="宋体" w:hAnsi="宋体"/>
        </w:rPr>
      </w:pPr>
      <w:r>
        <w:rPr>
          <w:rFonts w:hint="eastAsia" w:ascii="宋体" w:hAnsi="宋体"/>
        </w:rPr>
        <w:t>（3）开标时携带（1）、（2）要求的资料原件，否则按无效投标处理。</w:t>
      </w:r>
    </w:p>
    <w:p>
      <w:pPr>
        <w:spacing w:line="360" w:lineRule="auto"/>
        <w:jc w:val="left"/>
        <w:outlineLvl w:val="1"/>
        <w:rPr>
          <w:rFonts w:ascii="宋体" w:hAnsi="宋体"/>
          <w:sz w:val="24"/>
          <w:szCs w:val="24"/>
        </w:rPr>
      </w:pPr>
    </w:p>
    <w:p>
      <w:pPr>
        <w:pStyle w:val="6"/>
        <w:spacing w:before="61"/>
        <w:ind w:right="133"/>
        <w:rPr>
          <w:rFonts w:hint="eastAsia"/>
        </w:rPr>
      </w:pPr>
      <w:r>
        <w:rPr>
          <w:rFonts w:hint="eastAsia"/>
        </w:rPr>
        <w:t>五、</w:t>
      </w:r>
      <w:r>
        <w:t>投标保证金退还声明</w:t>
      </w:r>
    </w:p>
    <w:p>
      <w:pPr>
        <w:pStyle w:val="20"/>
        <w:spacing w:before="6"/>
        <w:rPr>
          <w:b/>
          <w:sz w:val="41"/>
        </w:rPr>
      </w:pPr>
    </w:p>
    <w:p>
      <w:pPr>
        <w:pStyle w:val="20"/>
        <w:ind w:left="1157"/>
        <w:rPr>
          <w:u w:val="single"/>
        </w:rPr>
      </w:pPr>
      <w:r>
        <w:t>项目名称：</w:t>
      </w:r>
      <w:r>
        <w:rPr>
          <w:rFonts w:hint="eastAsia"/>
          <w:u w:val="single"/>
          <w:lang w:val="en-US" w:eastAsia="zh-CN"/>
        </w:rPr>
        <w:t xml:space="preserve">                    </w:t>
      </w:r>
      <w:r>
        <w:rPr>
          <w:rFonts w:hint="eastAsia"/>
          <w:u w:val="single"/>
        </w:rPr>
        <w:t xml:space="preserve"> </w:t>
      </w:r>
    </w:p>
    <w:p>
      <w:pPr>
        <w:pStyle w:val="20"/>
        <w:spacing w:before="10"/>
        <w:rPr>
          <w:sz w:val="20"/>
        </w:rPr>
      </w:pPr>
    </w:p>
    <w:p>
      <w:pPr>
        <w:pStyle w:val="20"/>
        <w:spacing w:before="74"/>
        <w:ind w:left="1157"/>
      </w:pPr>
      <w:r>
        <w:t>项目编号：</w:t>
      </w:r>
      <w:r>
        <w:rPr>
          <w:rFonts w:hint="eastAsia"/>
          <w:u w:val="single"/>
        </w:rPr>
        <w:t xml:space="preserve">                   </w:t>
      </w:r>
    </w:p>
    <w:p>
      <w:pPr>
        <w:pStyle w:val="20"/>
        <w:spacing w:before="1"/>
      </w:pPr>
    </w:p>
    <w:p>
      <w:pPr>
        <w:pStyle w:val="20"/>
        <w:tabs>
          <w:tab w:val="left" w:pos="5172"/>
        </w:tabs>
        <w:spacing w:before="74"/>
        <w:ind w:left="1157"/>
        <w:rPr>
          <w:rFonts w:eastAsia="Times New Roman"/>
        </w:rPr>
      </w:pPr>
      <w:r>
        <w:t>投标保证金金额：</w:t>
      </w:r>
      <w:r>
        <w:rPr>
          <w:rFonts w:eastAsia="Times New Roman"/>
          <w:u w:val="single"/>
        </w:rPr>
        <w:tab/>
      </w:r>
    </w:p>
    <w:p>
      <w:pPr>
        <w:pStyle w:val="20"/>
        <w:spacing w:before="6"/>
      </w:pPr>
    </w:p>
    <w:p>
      <w:pPr>
        <w:pStyle w:val="20"/>
        <w:spacing w:before="67"/>
        <w:ind w:left="1008"/>
      </w:pPr>
      <w:r>
        <w:t>我单位投标保证金到期后请汇至如下帐号：</w:t>
      </w:r>
    </w:p>
    <w:p>
      <w:pPr>
        <w:pStyle w:val="20"/>
        <w:spacing w:before="7"/>
      </w:pPr>
    </w:p>
    <w:p>
      <w:pPr>
        <w:pStyle w:val="20"/>
        <w:tabs>
          <w:tab w:val="left" w:pos="5172"/>
        </w:tabs>
        <w:spacing w:line="364" w:lineRule="auto"/>
        <w:ind w:left="1157" w:right="5431"/>
        <w:rPr>
          <w:u w:val="single"/>
        </w:rPr>
      </w:pPr>
      <w:r>
        <w:rPr>
          <w:spacing w:val="-1"/>
        </w:rPr>
        <w:t>收</w:t>
      </w:r>
      <w:r>
        <w:t>款单位：</w:t>
      </w:r>
      <w:r>
        <w:rPr>
          <w:rFonts w:eastAsia="Times New Roman"/>
          <w:u w:val="single"/>
        </w:rPr>
        <w:tab/>
      </w:r>
    </w:p>
    <w:p>
      <w:pPr>
        <w:pStyle w:val="20"/>
        <w:tabs>
          <w:tab w:val="left" w:pos="5172"/>
        </w:tabs>
        <w:spacing w:line="364" w:lineRule="auto"/>
        <w:ind w:left="1157" w:right="5431"/>
        <w:rPr>
          <w:u w:val="single"/>
        </w:rPr>
      </w:pPr>
      <w:r>
        <w:t>开 户行：</w:t>
      </w:r>
      <w:r>
        <w:rPr>
          <w:rFonts w:eastAsia="Times New Roman"/>
          <w:u w:val="single"/>
        </w:rPr>
        <w:tab/>
      </w:r>
    </w:p>
    <w:p>
      <w:pPr>
        <w:pStyle w:val="20"/>
        <w:tabs>
          <w:tab w:val="left" w:pos="5172"/>
        </w:tabs>
        <w:spacing w:line="364" w:lineRule="auto"/>
        <w:ind w:left="1157" w:right="5431"/>
        <w:rPr>
          <w:u w:val="single"/>
        </w:rPr>
      </w:pPr>
      <w:r>
        <w:rPr>
          <w:spacing w:val="-1"/>
        </w:rPr>
        <w:t>银</w:t>
      </w:r>
      <w:r>
        <w:t>行帐号：</w:t>
      </w:r>
      <w:r>
        <w:rPr>
          <w:rFonts w:eastAsia="Times New Roman"/>
          <w:u w:val="single"/>
        </w:rPr>
        <w:tab/>
      </w:r>
    </w:p>
    <w:p>
      <w:pPr>
        <w:pStyle w:val="20"/>
        <w:tabs>
          <w:tab w:val="left" w:pos="5172"/>
        </w:tabs>
        <w:spacing w:line="364" w:lineRule="auto"/>
        <w:ind w:left="1157" w:right="5431"/>
        <w:rPr>
          <w:u w:val="single"/>
        </w:rPr>
      </w:pPr>
      <w:r>
        <w:t>电  话：</w:t>
      </w:r>
      <w:r>
        <w:rPr>
          <w:rFonts w:eastAsia="Times New Roman"/>
          <w:u w:val="single"/>
        </w:rPr>
        <w:tab/>
      </w:r>
    </w:p>
    <w:p>
      <w:pPr>
        <w:pStyle w:val="20"/>
        <w:tabs>
          <w:tab w:val="left" w:pos="5172"/>
        </w:tabs>
        <w:spacing w:line="364" w:lineRule="auto"/>
        <w:ind w:left="1157" w:right="5431"/>
      </w:pPr>
      <w:r>
        <w:t>地 址 ：</w:t>
      </w:r>
      <w:r>
        <w:rPr>
          <w:rFonts w:eastAsia="Times New Roman"/>
          <w:u w:val="single"/>
        </w:rPr>
        <w:tab/>
      </w:r>
      <w:r>
        <w:rPr>
          <w:rFonts w:hint="eastAsia"/>
        </w:rPr>
        <w:t xml:space="preserve">  </w:t>
      </w:r>
      <w:r>
        <w:t>投标供应商公章：</w:t>
      </w:r>
    </w:p>
    <w:p>
      <w:pPr>
        <w:pStyle w:val="20"/>
        <w:tabs>
          <w:tab w:val="left" w:pos="5172"/>
        </w:tabs>
        <w:spacing w:line="364" w:lineRule="auto"/>
        <w:ind w:left="1157" w:right="5431"/>
        <w:rPr>
          <w:b/>
          <w:sz w:val="34"/>
        </w:rPr>
      </w:pPr>
      <w:r>
        <w:t>备注：</w:t>
      </w:r>
    </w:p>
    <w:p>
      <w:pPr>
        <w:pStyle w:val="8"/>
        <w:spacing w:line="362" w:lineRule="auto"/>
        <w:ind w:right="661" w:firstLine="482"/>
      </w:pPr>
      <w:r>
        <w:t>此表无须装订，中标供应商办理合同备案时须携带此表提交至采购人或招标代理机构项目负责人。</w:t>
      </w:r>
    </w:p>
    <w:p>
      <w:pPr>
        <w:pStyle w:val="8"/>
        <w:spacing w:before="125" w:line="484" w:lineRule="auto"/>
        <w:ind w:right="659"/>
      </w:pPr>
      <w:r>
        <w:t>1</w:t>
      </w:r>
      <w:r>
        <w:rPr>
          <w:spacing w:val="-9"/>
        </w:rPr>
        <w:t>、投标保证金只退还至投标供应商账户。因收款单位与投标供应商名称不一致</w:t>
      </w:r>
      <w:r>
        <w:t>（分公司或子公司代收投标保证金，视同名称不一致）</w:t>
      </w:r>
      <w:r>
        <w:rPr>
          <w:spacing w:val="-1"/>
        </w:rPr>
        <w:t>造成的投标保证金无法退还或迟延退还，采购人或招标代理机构</w:t>
      </w:r>
      <w:r>
        <w:t>概不负责。</w:t>
      </w:r>
    </w:p>
    <w:p>
      <w:pPr>
        <w:pStyle w:val="8"/>
        <w:spacing w:before="165" w:line="388" w:lineRule="auto"/>
        <w:ind w:right="662"/>
      </w:pPr>
      <w:r>
        <w:t>2</w:t>
      </w:r>
      <w:r>
        <w:rPr>
          <w:spacing w:val="-12"/>
        </w:rPr>
        <w:t>、采购人或招标代理机构将在中标通知书发出后五个工作日内退还未中标供应商的投标</w:t>
      </w:r>
      <w:r>
        <w:t>保证金，在采购合同签订后五个工作日内退还中标供应商的投标保证金。</w:t>
      </w:r>
    </w:p>
    <w:p>
      <w:pPr>
        <w:spacing w:line="360" w:lineRule="auto"/>
        <w:jc w:val="left"/>
        <w:outlineLvl w:val="1"/>
        <w:rPr>
          <w:rFonts w:ascii="宋体" w:hAnsi="宋体"/>
          <w:sz w:val="24"/>
          <w:szCs w:val="24"/>
        </w:rPr>
        <w:sectPr>
          <w:pgSz w:w="11906" w:h="16838"/>
          <w:pgMar w:top="1440" w:right="1440" w:bottom="1440" w:left="1440" w:header="851" w:footer="851" w:gutter="0"/>
          <w:cols w:space="720" w:num="1"/>
          <w:docGrid w:type="linesAndChars" w:linePitch="312" w:charSpace="0"/>
        </w:sectPr>
      </w:pPr>
    </w:p>
    <w:p>
      <w:pPr>
        <w:spacing w:line="360" w:lineRule="auto"/>
        <w:jc w:val="center"/>
        <w:outlineLvl w:val="1"/>
        <w:rPr>
          <w:rFonts w:ascii="宋体" w:hAnsi="宋体"/>
          <w:b/>
          <w:sz w:val="32"/>
          <w:szCs w:val="32"/>
        </w:rPr>
      </w:pPr>
      <w:r>
        <w:rPr>
          <w:rFonts w:hint="eastAsia" w:ascii="宋体" w:hAnsi="宋体"/>
          <w:b/>
          <w:sz w:val="32"/>
          <w:szCs w:val="32"/>
        </w:rPr>
        <w:t>六、投标报价表</w:t>
      </w:r>
    </w:p>
    <w:p>
      <w:pPr>
        <w:widowControl/>
        <w:spacing w:line="360" w:lineRule="auto"/>
        <w:ind w:left="7455" w:hanging="7455" w:hangingChars="3550"/>
        <w:jc w:val="left"/>
        <w:rPr>
          <w:rFonts w:ascii="宋体" w:hAnsi="宋体" w:cs="宋体"/>
          <w:szCs w:val="21"/>
        </w:rPr>
      </w:pPr>
      <w:r>
        <w:rPr>
          <w:rFonts w:hint="eastAsia" w:ascii="宋体" w:hAnsi="宋体" w:cs="宋体"/>
          <w:szCs w:val="21"/>
        </w:rPr>
        <w:t>项目名称：</w:t>
      </w:r>
      <w:r>
        <w:rPr>
          <w:rFonts w:hint="eastAsia" w:ascii="Arial" w:hAnsi="Arial" w:cs="Arial"/>
          <w:color w:val="000000"/>
          <w:szCs w:val="21"/>
        </w:rPr>
        <w:t>安徽相王医疗健康股份有限公司</w:t>
      </w:r>
      <w:r>
        <w:rPr>
          <w:rFonts w:hint="eastAsia" w:ascii="宋体" w:hAnsi="宋体" w:cs="宋体"/>
          <w:szCs w:val="21"/>
          <w:lang w:val="en-US" w:eastAsia="zh-CN"/>
        </w:rPr>
        <w:t>DRG综合管理信息系统</w:t>
      </w:r>
      <w:r>
        <w:rPr>
          <w:rFonts w:ascii="宋体" w:hAnsi="宋体" w:cs="宋体"/>
          <w:szCs w:val="21"/>
        </w:rPr>
        <w:t>项目</w:t>
      </w:r>
    </w:p>
    <w:tbl>
      <w:tblPr>
        <w:tblStyle w:val="43"/>
        <w:tblW w:w="9936" w:type="dxa"/>
        <w:tblInd w:w="0" w:type="dxa"/>
        <w:tblLayout w:type="fixed"/>
        <w:tblCellMar>
          <w:top w:w="0" w:type="dxa"/>
          <w:left w:w="108" w:type="dxa"/>
          <w:bottom w:w="0" w:type="dxa"/>
          <w:right w:w="108" w:type="dxa"/>
        </w:tblCellMar>
      </w:tblPr>
      <w:tblGrid>
        <w:gridCol w:w="741"/>
        <w:gridCol w:w="1777"/>
        <w:gridCol w:w="1276"/>
        <w:gridCol w:w="1560"/>
        <w:gridCol w:w="1558"/>
        <w:gridCol w:w="3024"/>
      </w:tblGrid>
      <w:tr>
        <w:tblPrEx>
          <w:tblCellMar>
            <w:top w:w="0" w:type="dxa"/>
            <w:left w:w="108" w:type="dxa"/>
            <w:bottom w:w="0" w:type="dxa"/>
            <w:right w:w="108" w:type="dxa"/>
          </w:tblCellMar>
        </w:tblPrEx>
        <w:trPr>
          <w:trHeight w:val="567" w:hRule="atLeast"/>
        </w:trPr>
        <w:tc>
          <w:tcPr>
            <w:tcW w:w="741"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ascii="宋体" w:hAnsi="宋体" w:cs="宋体"/>
                <w:b/>
                <w:bCs/>
                <w:kern w:val="0"/>
                <w:szCs w:val="21"/>
              </w:rPr>
            </w:pPr>
            <w:r>
              <w:rPr>
                <w:rFonts w:hint="eastAsia" w:ascii="宋体" w:hAnsi="宋体" w:cs="宋体"/>
                <w:b/>
                <w:bCs/>
                <w:kern w:val="0"/>
                <w:szCs w:val="21"/>
              </w:rPr>
              <w:t>序号</w:t>
            </w:r>
          </w:p>
        </w:tc>
        <w:tc>
          <w:tcPr>
            <w:tcW w:w="1777" w:type="dxa"/>
            <w:tcBorders>
              <w:top w:val="single" w:color="auto" w:sz="4" w:space="0"/>
              <w:left w:val="nil"/>
              <w:bottom w:val="single" w:color="auto" w:sz="4" w:space="0"/>
              <w:right w:val="single" w:color="auto" w:sz="4" w:space="0"/>
            </w:tcBorders>
            <w:vAlign w:val="center"/>
          </w:tcPr>
          <w:p>
            <w:pPr>
              <w:widowControl/>
              <w:contextualSpacing/>
              <w:jc w:val="center"/>
              <w:rPr>
                <w:rFonts w:ascii="宋体" w:hAnsi="宋体" w:cs="宋体"/>
                <w:b/>
                <w:bCs/>
                <w:kern w:val="0"/>
                <w:szCs w:val="21"/>
              </w:rPr>
            </w:pPr>
            <w:r>
              <w:rPr>
                <w:rFonts w:hint="eastAsia" w:ascii="宋体" w:hAnsi="宋体" w:cs="宋体"/>
                <w:b/>
                <w:bCs/>
                <w:kern w:val="0"/>
                <w:szCs w:val="21"/>
              </w:rPr>
              <w:t>项目名称</w:t>
            </w:r>
          </w:p>
        </w:tc>
        <w:tc>
          <w:tcPr>
            <w:tcW w:w="1276" w:type="dxa"/>
            <w:tcBorders>
              <w:top w:val="single" w:color="auto" w:sz="4" w:space="0"/>
              <w:left w:val="nil"/>
              <w:bottom w:val="single" w:color="auto" w:sz="4" w:space="0"/>
              <w:right w:val="single" w:color="auto" w:sz="4" w:space="0"/>
            </w:tcBorders>
            <w:vAlign w:val="center"/>
          </w:tcPr>
          <w:p>
            <w:pPr>
              <w:widowControl/>
              <w:contextualSpacing/>
              <w:jc w:val="center"/>
              <w:rPr>
                <w:rFonts w:ascii="宋体" w:hAnsi="宋体" w:cs="宋体"/>
                <w:b/>
                <w:bCs/>
                <w:kern w:val="0"/>
                <w:szCs w:val="21"/>
              </w:rPr>
            </w:pPr>
            <w:r>
              <w:rPr>
                <w:rFonts w:ascii="宋体" w:hAnsi="宋体" w:cs="宋体"/>
                <w:b/>
                <w:bCs/>
                <w:kern w:val="0"/>
                <w:szCs w:val="21"/>
              </w:rPr>
              <w:t>最高控制价</w:t>
            </w:r>
          </w:p>
        </w:tc>
        <w:tc>
          <w:tcPr>
            <w:tcW w:w="1560" w:type="dxa"/>
            <w:tcBorders>
              <w:top w:val="single" w:color="auto" w:sz="4" w:space="0"/>
              <w:left w:val="single" w:color="auto" w:sz="4" w:space="0"/>
              <w:bottom w:val="single" w:color="auto" w:sz="4" w:space="0"/>
              <w:right w:val="single" w:color="auto" w:sz="4" w:space="0"/>
            </w:tcBorders>
          </w:tcPr>
          <w:p>
            <w:pPr>
              <w:widowControl/>
              <w:contextualSpacing/>
              <w:jc w:val="center"/>
              <w:rPr>
                <w:rFonts w:ascii="宋体" w:hAnsi="宋体" w:cs="宋体"/>
                <w:b/>
                <w:bCs/>
                <w:kern w:val="0"/>
                <w:szCs w:val="21"/>
              </w:rPr>
            </w:pPr>
            <w:r>
              <w:rPr>
                <w:rFonts w:hint="eastAsia" w:ascii="宋体" w:hAnsi="宋体" w:cs="宋体"/>
                <w:b/>
                <w:bCs/>
                <w:kern w:val="0"/>
                <w:szCs w:val="21"/>
              </w:rPr>
              <w:t>投标报价</w:t>
            </w:r>
          </w:p>
        </w:tc>
        <w:tc>
          <w:tcPr>
            <w:tcW w:w="1558" w:type="dxa"/>
            <w:tcBorders>
              <w:top w:val="single" w:color="auto" w:sz="4" w:space="0"/>
              <w:left w:val="single" w:color="auto" w:sz="4" w:space="0"/>
              <w:bottom w:val="single" w:color="auto" w:sz="4" w:space="0"/>
              <w:right w:val="single" w:color="auto" w:sz="4" w:space="0"/>
            </w:tcBorders>
          </w:tcPr>
          <w:p>
            <w:pPr>
              <w:widowControl/>
              <w:contextualSpacing/>
              <w:jc w:val="center"/>
              <w:rPr>
                <w:rFonts w:ascii="宋体" w:hAnsi="宋体" w:cs="宋体"/>
                <w:b/>
                <w:bCs/>
                <w:kern w:val="0"/>
                <w:szCs w:val="21"/>
              </w:rPr>
            </w:pPr>
            <w:r>
              <w:rPr>
                <w:rFonts w:hint="eastAsia" w:ascii="宋体" w:hAnsi="宋体" w:cs="宋体"/>
                <w:b/>
                <w:bCs/>
                <w:kern w:val="0"/>
                <w:szCs w:val="21"/>
              </w:rPr>
              <w:t>单位</w:t>
            </w:r>
          </w:p>
        </w:tc>
        <w:tc>
          <w:tcPr>
            <w:tcW w:w="3024"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ascii="宋体" w:hAnsi="宋体" w:cs="宋体"/>
                <w:b/>
                <w:bCs/>
                <w:kern w:val="0"/>
                <w:szCs w:val="21"/>
              </w:rPr>
            </w:pPr>
            <w:r>
              <w:rPr>
                <w:rFonts w:hint="eastAsia" w:ascii="宋体" w:hAnsi="宋体" w:cs="宋体"/>
                <w:b/>
                <w:bCs/>
                <w:kern w:val="0"/>
                <w:szCs w:val="21"/>
              </w:rPr>
              <w:t>备注</w:t>
            </w:r>
          </w:p>
        </w:tc>
      </w:tr>
      <w:tr>
        <w:tblPrEx>
          <w:tblCellMar>
            <w:top w:w="0" w:type="dxa"/>
            <w:left w:w="108" w:type="dxa"/>
            <w:bottom w:w="0" w:type="dxa"/>
            <w:right w:w="108" w:type="dxa"/>
          </w:tblCellMar>
        </w:tblPrEx>
        <w:trPr>
          <w:trHeight w:val="878" w:hRule="atLeast"/>
        </w:trPr>
        <w:tc>
          <w:tcPr>
            <w:tcW w:w="741" w:type="dxa"/>
            <w:tcBorders>
              <w:top w:val="nil"/>
              <w:left w:val="single" w:color="auto" w:sz="4" w:space="0"/>
              <w:bottom w:val="single" w:color="auto" w:sz="4" w:space="0"/>
              <w:right w:val="single" w:color="auto" w:sz="4" w:space="0"/>
            </w:tcBorders>
            <w:vAlign w:val="center"/>
          </w:tcPr>
          <w:p>
            <w:pPr>
              <w:widowControl/>
              <w:contextualSpacing/>
              <w:jc w:val="center"/>
              <w:rPr>
                <w:rFonts w:ascii="宋体" w:hAnsi="宋体" w:cs="宋体"/>
                <w:bCs/>
                <w:kern w:val="0"/>
                <w:szCs w:val="21"/>
              </w:rPr>
            </w:pPr>
            <w:r>
              <w:rPr>
                <w:rFonts w:hint="eastAsia" w:ascii="宋体" w:hAnsi="宋体" w:cs="宋体"/>
                <w:bCs/>
                <w:kern w:val="0"/>
                <w:szCs w:val="21"/>
              </w:rPr>
              <w:t>（1）</w:t>
            </w:r>
          </w:p>
        </w:tc>
        <w:tc>
          <w:tcPr>
            <w:tcW w:w="1777" w:type="dxa"/>
            <w:tcBorders>
              <w:top w:val="nil"/>
              <w:left w:val="nil"/>
              <w:bottom w:val="single" w:color="auto" w:sz="4" w:space="0"/>
              <w:right w:val="single" w:color="auto" w:sz="4" w:space="0"/>
            </w:tcBorders>
            <w:vAlign w:val="center"/>
          </w:tcPr>
          <w:p>
            <w:pPr>
              <w:widowControl/>
              <w:contextualSpacing/>
              <w:jc w:val="center"/>
              <w:rPr>
                <w:rFonts w:hint="eastAsia"/>
                <w:color w:val="FF0000"/>
                <w:szCs w:val="21"/>
              </w:rPr>
            </w:pPr>
            <w:r>
              <w:rPr>
                <w:rFonts w:hint="eastAsia"/>
                <w:color w:val="FF0000"/>
                <w:szCs w:val="21"/>
              </w:rPr>
              <w:t>DRG综合管理信息系统总价</w:t>
            </w:r>
          </w:p>
          <w:p>
            <w:pPr>
              <w:widowControl/>
              <w:contextualSpacing/>
              <w:jc w:val="center"/>
              <w:rPr>
                <w:rFonts w:ascii="宋体" w:hAnsi="宋体" w:cs="宋体"/>
                <w:bCs/>
                <w:kern w:val="0"/>
                <w:szCs w:val="21"/>
              </w:rPr>
            </w:pPr>
          </w:p>
        </w:tc>
        <w:tc>
          <w:tcPr>
            <w:tcW w:w="1276" w:type="dxa"/>
            <w:tcBorders>
              <w:top w:val="nil"/>
              <w:left w:val="nil"/>
              <w:bottom w:val="single" w:color="auto" w:sz="4" w:space="0"/>
              <w:right w:val="single" w:color="auto" w:sz="4" w:space="0"/>
            </w:tcBorders>
            <w:vAlign w:val="center"/>
          </w:tcPr>
          <w:p>
            <w:pPr>
              <w:widowControl/>
              <w:contextualSpacing/>
              <w:jc w:val="center"/>
              <w:rPr>
                <w:rFonts w:ascii="宋体" w:hAnsi="宋体" w:cs="宋体"/>
                <w:kern w:val="0"/>
                <w:szCs w:val="21"/>
              </w:rPr>
            </w:pPr>
            <w:r>
              <w:rPr>
                <w:rFonts w:hint="eastAsia" w:ascii="宋体" w:hAnsi="宋体" w:cs="宋体"/>
                <w:kern w:val="0"/>
                <w:szCs w:val="21"/>
                <w:lang w:val="en-US" w:eastAsia="zh-CN"/>
              </w:rPr>
              <w:t>62</w:t>
            </w:r>
            <w:r>
              <w:rPr>
                <w:rFonts w:hint="eastAsia" w:ascii="宋体" w:hAnsi="宋体" w:cs="宋体"/>
                <w:kern w:val="0"/>
                <w:szCs w:val="21"/>
              </w:rPr>
              <w:t>0000</w:t>
            </w:r>
          </w:p>
        </w:tc>
        <w:tc>
          <w:tcPr>
            <w:tcW w:w="1560" w:type="dxa"/>
            <w:tcBorders>
              <w:top w:val="nil"/>
              <w:left w:val="single" w:color="auto" w:sz="4" w:space="0"/>
              <w:bottom w:val="single" w:color="auto" w:sz="4" w:space="0"/>
              <w:right w:val="single" w:color="auto" w:sz="4" w:space="0"/>
            </w:tcBorders>
          </w:tcPr>
          <w:p>
            <w:pPr>
              <w:widowControl/>
              <w:contextualSpacing/>
              <w:jc w:val="center"/>
              <w:rPr>
                <w:rFonts w:ascii="宋体" w:hAnsi="宋体" w:cs="宋体"/>
                <w:bCs/>
                <w:kern w:val="0"/>
                <w:szCs w:val="21"/>
              </w:rPr>
            </w:pPr>
          </w:p>
        </w:tc>
        <w:tc>
          <w:tcPr>
            <w:tcW w:w="1558" w:type="dxa"/>
            <w:tcBorders>
              <w:top w:val="nil"/>
              <w:left w:val="single" w:color="auto" w:sz="4" w:space="0"/>
              <w:bottom w:val="single" w:color="auto" w:sz="4" w:space="0"/>
              <w:right w:val="single" w:color="auto" w:sz="4" w:space="0"/>
            </w:tcBorders>
          </w:tcPr>
          <w:p>
            <w:pPr>
              <w:widowControl/>
              <w:contextualSpacing/>
              <w:jc w:val="center"/>
              <w:rPr>
                <w:rFonts w:ascii="宋体" w:hAnsi="宋体" w:cs="宋体"/>
                <w:bCs/>
                <w:kern w:val="0"/>
                <w:szCs w:val="21"/>
              </w:rPr>
            </w:pPr>
            <w:r>
              <w:rPr>
                <w:rFonts w:ascii="宋体" w:hAnsi="宋体" w:cs="宋体"/>
                <w:bCs/>
                <w:kern w:val="0"/>
                <w:szCs w:val="21"/>
              </w:rPr>
              <w:t>元</w:t>
            </w:r>
          </w:p>
        </w:tc>
        <w:tc>
          <w:tcPr>
            <w:tcW w:w="3024" w:type="dxa"/>
            <w:vMerge w:val="restart"/>
            <w:tcBorders>
              <w:top w:val="nil"/>
              <w:left w:val="single" w:color="auto" w:sz="4" w:space="0"/>
              <w:right w:val="single" w:color="auto" w:sz="4" w:space="0"/>
            </w:tcBorders>
            <w:vAlign w:val="center"/>
          </w:tcPr>
          <w:p>
            <w:pPr>
              <w:widowControl/>
              <w:contextualSpacing/>
              <w:jc w:val="left"/>
              <w:rPr>
                <w:rFonts w:ascii="宋体" w:hAnsi="宋体" w:cs="宋体"/>
                <w:b/>
                <w:bCs/>
                <w:kern w:val="0"/>
                <w:szCs w:val="21"/>
              </w:rPr>
            </w:pPr>
            <w:r>
              <w:rPr>
                <w:rFonts w:hint="eastAsia" w:ascii="宋体" w:hAnsi="宋体" w:cs="宋体"/>
                <w:b/>
                <w:bCs/>
                <w:kern w:val="0"/>
                <w:szCs w:val="21"/>
              </w:rPr>
              <w:t>不得超过招标人设定的最高投标限价，否则按无效投标处理。</w:t>
            </w:r>
          </w:p>
        </w:tc>
      </w:tr>
      <w:tr>
        <w:tblPrEx>
          <w:tblCellMar>
            <w:top w:w="0" w:type="dxa"/>
            <w:left w:w="108" w:type="dxa"/>
            <w:bottom w:w="0" w:type="dxa"/>
            <w:right w:w="108" w:type="dxa"/>
          </w:tblCellMar>
        </w:tblPrEx>
        <w:trPr>
          <w:trHeight w:val="567" w:hRule="atLeast"/>
        </w:trPr>
        <w:tc>
          <w:tcPr>
            <w:tcW w:w="741" w:type="dxa"/>
            <w:tcBorders>
              <w:top w:val="nil"/>
              <w:left w:val="single" w:color="auto" w:sz="4" w:space="0"/>
              <w:bottom w:val="single" w:color="auto" w:sz="4" w:space="0"/>
              <w:right w:val="single" w:color="auto" w:sz="4" w:space="0"/>
            </w:tcBorders>
            <w:vAlign w:val="center"/>
          </w:tcPr>
          <w:p>
            <w:pPr>
              <w:widowControl/>
              <w:contextualSpacing/>
              <w:jc w:val="center"/>
              <w:rPr>
                <w:rFonts w:ascii="宋体" w:hAnsi="宋体" w:cs="宋体"/>
                <w:kern w:val="0"/>
                <w:szCs w:val="21"/>
              </w:rPr>
            </w:pPr>
            <w:r>
              <w:rPr>
                <w:rFonts w:hint="eastAsia" w:ascii="宋体" w:hAnsi="宋体" w:cs="宋体"/>
                <w:kern w:val="0"/>
                <w:szCs w:val="21"/>
              </w:rPr>
              <w:t>（2）</w:t>
            </w:r>
          </w:p>
        </w:tc>
        <w:tc>
          <w:tcPr>
            <w:tcW w:w="1777" w:type="dxa"/>
            <w:tcBorders>
              <w:top w:val="nil"/>
              <w:left w:val="nil"/>
              <w:bottom w:val="single" w:color="auto" w:sz="4" w:space="0"/>
              <w:right w:val="single" w:color="auto" w:sz="4" w:space="0"/>
            </w:tcBorders>
            <w:vAlign w:val="center"/>
          </w:tcPr>
          <w:p>
            <w:pPr>
              <w:widowControl/>
              <w:contextualSpacing/>
              <w:jc w:val="center"/>
              <w:rPr>
                <w:rFonts w:ascii="宋体" w:hAnsi="宋体" w:cs="宋体"/>
                <w:bCs/>
                <w:kern w:val="0"/>
                <w:szCs w:val="21"/>
              </w:rPr>
            </w:pPr>
            <w:r>
              <w:rPr>
                <w:rFonts w:hint="eastAsia"/>
                <w:color w:val="FF0000"/>
                <w:szCs w:val="21"/>
              </w:rPr>
              <w:t xml:space="preserve">三年期后每年系统维护费   </w:t>
            </w:r>
          </w:p>
        </w:tc>
        <w:tc>
          <w:tcPr>
            <w:tcW w:w="1276" w:type="dxa"/>
            <w:tcBorders>
              <w:top w:val="nil"/>
              <w:left w:val="nil"/>
              <w:bottom w:val="single" w:color="auto" w:sz="4" w:space="0"/>
              <w:right w:val="single" w:color="auto" w:sz="4" w:space="0"/>
            </w:tcBorders>
            <w:vAlign w:val="center"/>
          </w:tcPr>
          <w:p>
            <w:pPr>
              <w:widowControl/>
              <w:contextualSpacing/>
              <w:jc w:val="center"/>
              <w:rPr>
                <w:rFonts w:hint="default" w:ascii="宋体" w:hAnsi="宋体" w:eastAsia="宋体" w:cs="宋体"/>
                <w:kern w:val="0"/>
                <w:szCs w:val="21"/>
                <w:lang w:val="en-US" w:eastAsia="zh-CN"/>
              </w:rPr>
            </w:pPr>
            <w:r>
              <w:rPr>
                <w:rFonts w:hint="eastAsia" w:ascii="宋体" w:hAnsi="宋体"/>
                <w:lang w:val="en-US" w:eastAsia="zh-CN"/>
              </w:rPr>
              <w:t>10</w:t>
            </w:r>
          </w:p>
        </w:tc>
        <w:tc>
          <w:tcPr>
            <w:tcW w:w="1560" w:type="dxa"/>
            <w:tcBorders>
              <w:top w:val="nil"/>
              <w:left w:val="single" w:color="auto" w:sz="4" w:space="0"/>
              <w:bottom w:val="single" w:color="auto" w:sz="4" w:space="0"/>
              <w:right w:val="single" w:color="auto" w:sz="4" w:space="0"/>
            </w:tcBorders>
          </w:tcPr>
          <w:p>
            <w:pPr>
              <w:widowControl/>
              <w:contextualSpacing/>
              <w:jc w:val="center"/>
              <w:rPr>
                <w:rFonts w:ascii="宋体" w:hAnsi="宋体" w:cs="宋体"/>
                <w:bCs/>
                <w:kern w:val="0"/>
                <w:szCs w:val="21"/>
              </w:rPr>
            </w:pPr>
          </w:p>
        </w:tc>
        <w:tc>
          <w:tcPr>
            <w:tcW w:w="1558" w:type="dxa"/>
            <w:tcBorders>
              <w:top w:val="nil"/>
              <w:left w:val="single" w:color="auto" w:sz="4" w:space="0"/>
              <w:bottom w:val="single" w:color="auto" w:sz="4" w:space="0"/>
              <w:right w:val="single" w:color="auto" w:sz="4" w:space="0"/>
            </w:tcBorders>
          </w:tcPr>
          <w:p>
            <w:pPr>
              <w:widowControl/>
              <w:contextualSpacing/>
              <w:jc w:val="center"/>
              <w:rPr>
                <w:rFonts w:hint="eastAsia" w:ascii="宋体" w:hAnsi="宋体" w:eastAsia="宋体" w:cs="宋体"/>
                <w:bCs/>
                <w:kern w:val="0"/>
                <w:szCs w:val="21"/>
                <w:lang w:val="en-US" w:eastAsia="zh-CN"/>
              </w:rPr>
            </w:pPr>
            <w:r>
              <w:rPr>
                <w:rFonts w:hint="eastAsia" w:ascii="宋体" w:hAnsi="宋体" w:cs="宋体"/>
                <w:bCs/>
                <w:kern w:val="0"/>
                <w:szCs w:val="21"/>
                <w:lang w:val="en-US" w:eastAsia="zh-CN"/>
              </w:rPr>
              <w:t>%</w:t>
            </w:r>
          </w:p>
        </w:tc>
        <w:tc>
          <w:tcPr>
            <w:tcW w:w="3024" w:type="dxa"/>
            <w:vMerge w:val="continue"/>
            <w:tcBorders>
              <w:left w:val="single" w:color="auto" w:sz="4" w:space="0"/>
              <w:right w:val="single" w:color="auto" w:sz="4" w:space="0"/>
            </w:tcBorders>
            <w:vAlign w:val="center"/>
          </w:tcPr>
          <w:p>
            <w:pPr>
              <w:widowControl/>
              <w:contextualSpacing/>
              <w:jc w:val="left"/>
              <w:rPr>
                <w:rFonts w:ascii="宋体" w:hAnsi="宋体" w:cs="宋体"/>
                <w:bCs/>
                <w:kern w:val="0"/>
                <w:szCs w:val="21"/>
              </w:rPr>
            </w:pPr>
          </w:p>
        </w:tc>
      </w:tr>
    </w:tbl>
    <w:p>
      <w:pPr>
        <w:spacing w:line="360" w:lineRule="auto"/>
        <w:jc w:val="left"/>
        <w:outlineLvl w:val="1"/>
        <w:rPr>
          <w:rFonts w:hint="eastAsia" w:ascii="宋体" w:hAnsi="宋体" w:eastAsia="宋体"/>
          <w:szCs w:val="21"/>
          <w:lang w:eastAsia="zh-CN"/>
        </w:rPr>
      </w:pPr>
      <w:r>
        <w:rPr>
          <w:rFonts w:hint="eastAsia" w:ascii="宋体" w:hAnsi="宋体"/>
          <w:szCs w:val="21"/>
        </w:rPr>
        <w:t>注： 投标人须按本表规定及招标文件要求进行报价，已填写内容不得擅自改变，未填写内容由投标人自行填报。</w:t>
      </w:r>
      <w:r>
        <w:rPr>
          <w:rFonts w:hint="eastAsia" w:ascii="宋体" w:hAnsi="宋体"/>
          <w:szCs w:val="21"/>
          <w:lang w:eastAsia="zh-CN"/>
        </w:rPr>
        <w:t>在序号（</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三年期后每年系统维护费</w:t>
      </w:r>
      <w:r>
        <w:rPr>
          <w:rFonts w:hint="eastAsia" w:ascii="宋体" w:hAnsi="宋体"/>
          <w:szCs w:val="21"/>
          <w:lang w:eastAsia="zh-CN"/>
        </w:rPr>
        <w:t>的投标报价栏中填写阿拉伯数字，</w:t>
      </w:r>
      <w:r>
        <w:rPr>
          <w:rFonts w:hint="eastAsia" w:ascii="宋体" w:hAnsi="宋体"/>
          <w:szCs w:val="21"/>
        </w:rPr>
        <w:t>三年期后每年系统维护费</w:t>
      </w:r>
      <w:r>
        <w:rPr>
          <w:rFonts w:hint="eastAsia" w:ascii="宋体" w:hAnsi="宋体"/>
          <w:szCs w:val="21"/>
          <w:lang w:eastAsia="zh-CN"/>
        </w:rPr>
        <w:t>按年度金额的百分比计算。</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投标人（盖章）：</w:t>
      </w:r>
    </w:p>
    <w:p>
      <w:pPr>
        <w:spacing w:line="360" w:lineRule="auto"/>
        <w:ind w:firstLine="420" w:firstLineChars="200"/>
        <w:rPr>
          <w:rFonts w:ascii="宋体" w:hAnsi="宋体"/>
          <w:szCs w:val="21"/>
        </w:rPr>
      </w:pPr>
      <w:r>
        <w:rPr>
          <w:rFonts w:hint="eastAsia" w:ascii="宋体" w:hAnsi="宋体"/>
          <w:szCs w:val="21"/>
        </w:rPr>
        <w:t>法人代表或委托代理人（签字或盖章）：</w:t>
      </w:r>
    </w:p>
    <w:p>
      <w:pPr>
        <w:spacing w:line="360" w:lineRule="auto"/>
        <w:ind w:firstLine="420" w:firstLineChars="200"/>
        <w:jc w:val="left"/>
        <w:outlineLvl w:val="1"/>
        <w:rPr>
          <w:rFonts w:ascii="宋体" w:hAnsi="宋体"/>
          <w:sz w:val="24"/>
          <w:szCs w:val="24"/>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tabs>
          <w:tab w:val="left" w:pos="3081"/>
        </w:tabs>
        <w:spacing w:line="360" w:lineRule="auto"/>
        <w:jc w:val="center"/>
        <w:rPr>
          <w:b/>
          <w:bCs/>
          <w:sz w:val="28"/>
          <w:szCs w:val="28"/>
        </w:rPr>
      </w:pPr>
      <w:r>
        <w:rPr>
          <w:rFonts w:ascii="宋体" w:hAnsi="宋体"/>
          <w:szCs w:val="21"/>
        </w:rPr>
        <w:br w:type="page"/>
      </w:r>
      <w:bookmarkStart w:id="309" w:name="_Toc394068459"/>
      <w:bookmarkStart w:id="310" w:name="_Toc353448538"/>
      <w:r>
        <w:rPr>
          <w:rFonts w:hint="eastAsia" w:ascii="宋体" w:hAnsi="宋体"/>
          <w:b/>
          <w:sz w:val="32"/>
          <w:szCs w:val="32"/>
        </w:rPr>
        <w:t>七、</w:t>
      </w:r>
      <w:bookmarkEnd w:id="309"/>
      <w:bookmarkEnd w:id="310"/>
      <w:r>
        <w:rPr>
          <w:rFonts w:hint="eastAsia"/>
          <w:b/>
          <w:bCs/>
          <w:sz w:val="28"/>
          <w:szCs w:val="28"/>
        </w:rPr>
        <w:t>投标报价说明</w:t>
      </w:r>
    </w:p>
    <w:p>
      <w:pPr>
        <w:spacing w:line="360" w:lineRule="auto"/>
        <w:jc w:val="center"/>
        <w:outlineLvl w:val="1"/>
        <w:rPr>
          <w:rFonts w:ascii="宋体" w:hAnsi="宋体"/>
          <w:b/>
          <w:sz w:val="32"/>
          <w:szCs w:val="32"/>
        </w:rPr>
      </w:pPr>
    </w:p>
    <w:p>
      <w:pPr>
        <w:spacing w:line="360" w:lineRule="auto"/>
        <w:ind w:firstLine="420" w:firstLineChars="200"/>
        <w:rPr>
          <w:rFonts w:ascii="宋体" w:hAnsi="宋体"/>
          <w:szCs w:val="21"/>
        </w:rPr>
      </w:pPr>
      <w:r>
        <w:rPr>
          <w:rFonts w:hint="eastAsia" w:ascii="宋体" w:hAnsi="宋体"/>
          <w:szCs w:val="21"/>
        </w:rPr>
        <w:t>投标人对本项目费用报价的价格构成进行分析说明，格式自拟。</w:t>
      </w:r>
    </w:p>
    <w:p>
      <w:pPr>
        <w:spacing w:line="360" w:lineRule="auto"/>
        <w:jc w:val="center"/>
        <w:outlineLvl w:val="1"/>
        <w:rPr>
          <w:rFonts w:ascii="宋体" w:hAnsi="宋体"/>
          <w:b/>
          <w:sz w:val="32"/>
          <w:szCs w:val="32"/>
        </w:rPr>
      </w:pPr>
      <w:r>
        <w:rPr>
          <w:rFonts w:hint="eastAsia" w:ascii="宋体" w:hAnsi="宋体"/>
          <w:b/>
          <w:sz w:val="32"/>
          <w:szCs w:val="32"/>
        </w:rPr>
        <w:t>八、</w:t>
      </w:r>
      <w:r>
        <w:rPr>
          <w:rFonts w:hint="eastAsia" w:ascii="宋体" w:hAnsi="宋体"/>
          <w:b/>
          <w:sz w:val="32"/>
          <w:szCs w:val="32"/>
          <w:lang w:eastAsia="zh-CN"/>
        </w:rPr>
        <w:t>服务</w:t>
      </w:r>
      <w:r>
        <w:rPr>
          <w:rFonts w:hint="eastAsia" w:ascii="宋体" w:hAnsi="宋体"/>
          <w:b/>
          <w:sz w:val="32"/>
          <w:szCs w:val="32"/>
        </w:rPr>
        <w:t>方案</w:t>
      </w:r>
    </w:p>
    <w:p>
      <w:pPr>
        <w:spacing w:line="360" w:lineRule="auto"/>
        <w:ind w:firstLine="420" w:firstLineChars="200"/>
        <w:rPr>
          <w:rFonts w:ascii="宋体" w:hAnsi="宋体"/>
          <w:szCs w:val="21"/>
        </w:rPr>
      </w:pPr>
      <w:r>
        <w:rPr>
          <w:rFonts w:hint="eastAsia" w:ascii="宋体" w:hAnsi="宋体"/>
          <w:szCs w:val="21"/>
        </w:rPr>
        <w:t>投标人按照</w:t>
      </w:r>
      <w:r>
        <w:rPr>
          <w:rFonts w:hint="eastAsia" w:ascii="宋体" w:hAnsi="宋体"/>
          <w:szCs w:val="21"/>
          <w:lang w:eastAsia="zh-CN"/>
        </w:rPr>
        <w:t>招标人</w:t>
      </w:r>
      <w:r>
        <w:rPr>
          <w:rFonts w:hint="eastAsia" w:ascii="宋体" w:hAnsi="宋体"/>
          <w:szCs w:val="21"/>
        </w:rPr>
        <w:t>需求书及招标文件规定编制</w:t>
      </w:r>
      <w:r>
        <w:rPr>
          <w:rFonts w:hint="eastAsia" w:ascii="宋体" w:hAnsi="宋体"/>
          <w:szCs w:val="21"/>
          <w:lang w:eastAsia="zh-CN"/>
        </w:rPr>
        <w:t>服务</w:t>
      </w:r>
      <w:r>
        <w:rPr>
          <w:rFonts w:hint="eastAsia" w:ascii="宋体" w:hAnsi="宋体"/>
          <w:szCs w:val="21"/>
        </w:rPr>
        <w:t>方案，包括但不限于以下内容：</w:t>
      </w:r>
    </w:p>
    <w:p>
      <w:pPr>
        <w:spacing w:line="360" w:lineRule="auto"/>
        <w:ind w:firstLine="420" w:firstLineChars="200"/>
        <w:rPr>
          <w:rFonts w:hint="eastAsia" w:ascii="宋体" w:hAnsi="宋体" w:eastAsia="宋体"/>
          <w:szCs w:val="21"/>
          <w:lang w:eastAsia="zh-CN"/>
        </w:rPr>
      </w:pPr>
      <w:r>
        <w:rPr>
          <w:rFonts w:hint="eastAsia" w:ascii="宋体" w:hAnsi="宋体"/>
          <w:szCs w:val="21"/>
        </w:rPr>
        <w:t>1、</w:t>
      </w:r>
      <w:r>
        <w:rPr>
          <w:rFonts w:hint="eastAsia" w:ascii="宋体" w:hAnsi="宋体" w:cs="仿宋_GB2312"/>
          <w:bCs/>
          <w:szCs w:val="21"/>
        </w:rPr>
        <w:t>项目日常运营维护方案</w:t>
      </w:r>
      <w:r>
        <w:rPr>
          <w:rFonts w:hint="eastAsia" w:ascii="宋体" w:hAnsi="宋体" w:cs="仿宋_GB2312"/>
          <w:bCs/>
          <w:szCs w:val="21"/>
          <w:lang w:eastAsia="zh-CN"/>
        </w:rPr>
        <w:t>；</w:t>
      </w:r>
    </w:p>
    <w:p>
      <w:pPr>
        <w:spacing w:line="360" w:lineRule="auto"/>
        <w:ind w:firstLine="420" w:firstLineChars="200"/>
        <w:rPr>
          <w:rFonts w:hint="eastAsia" w:ascii="宋体" w:hAnsi="宋体" w:eastAsia="宋体"/>
          <w:color w:val="auto"/>
          <w:lang w:eastAsia="zh-CN"/>
        </w:rPr>
      </w:pPr>
      <w:bookmarkStart w:id="311" w:name="_Toc353448541"/>
      <w:bookmarkStart w:id="312" w:name="_Toc394068471"/>
      <w:r>
        <w:rPr>
          <w:rFonts w:hint="eastAsia" w:ascii="宋体" w:hAnsi="宋体"/>
          <w:color w:val="auto"/>
          <w:lang w:val="en-US" w:eastAsia="zh-CN"/>
        </w:rPr>
        <w:t>2、</w:t>
      </w:r>
      <w:r>
        <w:rPr>
          <w:rFonts w:hint="eastAsia" w:ascii="宋体" w:hAnsi="宋体"/>
          <w:color w:val="auto"/>
        </w:rPr>
        <w:t>投标人的服务响应及维修等承诺</w:t>
      </w:r>
      <w:r>
        <w:rPr>
          <w:rFonts w:hint="eastAsia" w:ascii="宋体" w:hAnsi="宋体"/>
          <w:color w:val="auto"/>
          <w:lang w:eastAsia="zh-CN"/>
        </w:rPr>
        <w:t>；</w:t>
      </w:r>
    </w:p>
    <w:p>
      <w:pPr>
        <w:spacing w:line="360" w:lineRule="auto"/>
        <w:ind w:firstLine="420" w:firstLineChars="200"/>
        <w:rPr>
          <w:rFonts w:hint="eastAsia" w:ascii="宋体" w:cs="宋体"/>
          <w:kern w:val="0"/>
          <w:szCs w:val="21"/>
        </w:rPr>
      </w:pPr>
      <w:r>
        <w:rPr>
          <w:rFonts w:hint="eastAsia" w:ascii="宋体" w:hAnsi="宋体"/>
          <w:color w:val="auto"/>
          <w:lang w:val="en-US" w:eastAsia="zh-CN"/>
        </w:rPr>
        <w:t>3、</w:t>
      </w:r>
      <w:r>
        <w:rPr>
          <w:rFonts w:hint="eastAsia" w:ascii="宋体" w:hAnsi="宋体"/>
          <w:color w:val="auto"/>
        </w:rPr>
        <w:t>详细说明服务能力、服务时间、人员配备</w:t>
      </w:r>
      <w:r>
        <w:rPr>
          <w:rFonts w:hint="eastAsia" w:ascii="宋体" w:hAnsi="宋体"/>
          <w:color w:val="auto"/>
          <w:lang w:eastAsia="zh-CN"/>
        </w:rPr>
        <w:t>；</w:t>
      </w:r>
      <w:r>
        <w:rPr>
          <w:rFonts w:hint="eastAsia" w:ascii="宋体" w:cs="宋体"/>
          <w:kern w:val="0"/>
          <w:szCs w:val="21"/>
        </w:rPr>
        <w:t>（备注：人员可以多项目兼职，提供隶属本公司的社保证明材料）</w:t>
      </w:r>
    </w:p>
    <w:p>
      <w:pPr>
        <w:spacing w:line="360" w:lineRule="auto"/>
        <w:ind w:firstLine="420" w:firstLineChars="200"/>
        <w:rPr>
          <w:rFonts w:hint="eastAsia" w:ascii="宋体" w:hAnsi="宋体" w:eastAsia="宋体" w:cs="Times New Roman"/>
          <w:b w:val="0"/>
          <w:bCs w:val="0"/>
          <w:color w:val="auto"/>
          <w:kern w:val="2"/>
          <w:sz w:val="21"/>
          <w:szCs w:val="22"/>
          <w:lang w:val="en-US" w:eastAsia="zh-CN" w:bidi="ar-SA"/>
        </w:rPr>
      </w:pPr>
      <w:r>
        <w:rPr>
          <w:rFonts w:hint="eastAsia" w:ascii="宋体" w:cs="宋体"/>
          <w:kern w:val="0"/>
          <w:szCs w:val="21"/>
          <w:lang w:val="en-US" w:eastAsia="zh-CN"/>
        </w:rPr>
        <w:t>4、</w:t>
      </w:r>
      <w:r>
        <w:rPr>
          <w:rFonts w:hint="eastAsia" w:ascii="宋体" w:hAnsi="宋体" w:eastAsia="宋体" w:cs="Times New Roman"/>
          <w:b w:val="0"/>
          <w:bCs w:val="0"/>
          <w:color w:val="auto"/>
          <w:kern w:val="2"/>
          <w:sz w:val="21"/>
          <w:szCs w:val="22"/>
          <w:lang w:val="en-US" w:eastAsia="zh-CN" w:bidi="ar-SA"/>
        </w:rPr>
        <w:t>系统故障响应、诊断、应急处理、维修和相应的设备更换计划等；</w:t>
      </w:r>
    </w:p>
    <w:p>
      <w:pPr>
        <w:spacing w:line="360" w:lineRule="auto"/>
        <w:ind w:firstLine="420" w:firstLineChars="200"/>
        <w:rPr>
          <w:rFonts w:hint="eastAsia" w:ascii="宋体" w:hAnsi="宋体" w:eastAsia="宋体" w:cs="Times New Roman"/>
          <w:b w:val="0"/>
          <w:bCs w:val="0"/>
          <w:color w:val="auto"/>
          <w:kern w:val="2"/>
          <w:sz w:val="21"/>
          <w:szCs w:val="22"/>
          <w:lang w:val="en-US" w:eastAsia="zh-CN" w:bidi="ar-SA"/>
        </w:rPr>
      </w:pPr>
      <w:r>
        <w:rPr>
          <w:rFonts w:hint="eastAsia" w:ascii="宋体" w:hAnsi="宋体" w:cs="Times New Roman"/>
          <w:b w:val="0"/>
          <w:bCs w:val="0"/>
          <w:color w:val="auto"/>
          <w:kern w:val="2"/>
          <w:sz w:val="21"/>
          <w:szCs w:val="22"/>
          <w:lang w:val="en-US" w:eastAsia="zh-CN" w:bidi="ar-SA"/>
        </w:rPr>
        <w:t>5、</w:t>
      </w:r>
      <w:r>
        <w:rPr>
          <w:rFonts w:hint="eastAsia" w:ascii="宋体" w:hAnsi="宋体" w:eastAsia="宋体" w:cs="Times New Roman"/>
          <w:b w:val="0"/>
          <w:bCs w:val="0"/>
          <w:color w:val="auto"/>
          <w:kern w:val="2"/>
          <w:sz w:val="21"/>
          <w:szCs w:val="22"/>
          <w:lang w:val="en-US" w:eastAsia="zh-CN" w:bidi="ar-SA"/>
        </w:rPr>
        <w:t>投标人的技术支持和相应软件的升级承诺等。</w:t>
      </w:r>
    </w:p>
    <w:p>
      <w:pPr>
        <w:pStyle w:val="6"/>
        <w:spacing w:before="57"/>
        <w:ind w:right="134" w:firstLine="960" w:firstLineChars="300"/>
        <w:rPr>
          <w:rFonts w:ascii="宋体" w:hAnsi="宋体"/>
          <w:bCs w:val="0"/>
          <w:kern w:val="2"/>
          <w:sz w:val="32"/>
          <w:szCs w:val="32"/>
        </w:rPr>
      </w:pPr>
    </w:p>
    <w:p>
      <w:pPr>
        <w:pStyle w:val="6"/>
        <w:spacing w:before="57"/>
        <w:ind w:right="134" w:firstLine="960" w:firstLineChars="300"/>
        <w:rPr>
          <w:rFonts w:hint="eastAsia"/>
        </w:rPr>
      </w:pPr>
      <w:r>
        <w:rPr>
          <w:rFonts w:hint="eastAsia" w:ascii="宋体" w:hAnsi="宋体"/>
          <w:bCs w:val="0"/>
          <w:kern w:val="2"/>
          <w:sz w:val="32"/>
          <w:szCs w:val="32"/>
        </w:rPr>
        <w:t>九、</w:t>
      </w:r>
      <w:r>
        <w:t>无重大违法记录声明函、无不良信用记录声明函</w:t>
      </w:r>
    </w:p>
    <w:p>
      <w:pPr>
        <w:pStyle w:val="20"/>
        <w:spacing w:before="8"/>
        <w:rPr>
          <w:b/>
          <w:sz w:val="26"/>
        </w:rPr>
      </w:pPr>
    </w:p>
    <w:p>
      <w:pPr>
        <w:ind w:left="142" w:right="136"/>
        <w:jc w:val="center"/>
        <w:rPr>
          <w:b/>
          <w:sz w:val="28"/>
        </w:rPr>
      </w:pPr>
      <w:r>
        <w:rPr>
          <w:b/>
          <w:sz w:val="28"/>
        </w:rPr>
        <w:t>无重大违法记录声明函</w:t>
      </w:r>
    </w:p>
    <w:p>
      <w:pPr>
        <w:pStyle w:val="20"/>
        <w:spacing w:before="188" w:line="364" w:lineRule="auto"/>
        <w:ind w:left="528" w:right="664" w:firstLine="434"/>
      </w:pPr>
      <w:r>
        <w:t>本公司郑重声明，根据《中华人民共和国采购法》及《中华人民共和国采购法实施条例》的规定，参加采购活动前三年内，本公司在经营活动中没有重大违法记录，没有因违法经营受到刑事处罚或者责令停产停业、吊销许可证或者执照、较大数额罚款等行政处罚。</w:t>
      </w:r>
    </w:p>
    <w:p>
      <w:pPr>
        <w:pStyle w:val="20"/>
        <w:spacing w:line="306" w:lineRule="exact"/>
        <w:ind w:left="962"/>
      </w:pPr>
      <w:r>
        <w:t>本公司郑重声明，符合下列情形之一：</w:t>
      </w:r>
    </w:p>
    <w:p>
      <w:pPr>
        <w:pStyle w:val="20"/>
        <w:spacing w:before="160"/>
        <w:ind w:left="962"/>
      </w:pPr>
      <w:r>
        <w:t>本公司对上述声明的真实性负责。如有虚假，将依法承担相应责任。</w:t>
      </w:r>
    </w:p>
    <w:p>
      <w:pPr>
        <w:pStyle w:val="20"/>
      </w:pPr>
    </w:p>
    <w:p>
      <w:pPr>
        <w:pStyle w:val="20"/>
      </w:pPr>
    </w:p>
    <w:p>
      <w:pPr>
        <w:pStyle w:val="20"/>
        <w:tabs>
          <w:tab w:val="left" w:pos="5718"/>
          <w:tab w:val="left" w:pos="9013"/>
          <w:tab w:val="left" w:pos="9133"/>
        </w:tabs>
        <w:spacing w:before="169" w:line="364" w:lineRule="auto"/>
        <w:ind w:right="1470" w:firstLine="1890" w:firstLineChars="900"/>
        <w:rPr>
          <w:u w:val="single"/>
        </w:rPr>
      </w:pPr>
      <w:r>
        <w:t>投标供应商签章</w:t>
      </w:r>
      <w:r>
        <w:rPr>
          <w:rFonts w:eastAsia="Times New Roman"/>
          <w:u w:val="single"/>
        </w:rPr>
        <w:tab/>
      </w:r>
    </w:p>
    <w:p>
      <w:pPr>
        <w:pStyle w:val="20"/>
        <w:tabs>
          <w:tab w:val="left" w:pos="5718"/>
          <w:tab w:val="left" w:pos="9013"/>
          <w:tab w:val="left" w:pos="9133"/>
        </w:tabs>
        <w:spacing w:before="169" w:line="364" w:lineRule="auto"/>
        <w:ind w:right="1470" w:firstLine="1890" w:firstLineChars="900"/>
        <w:rPr>
          <w:rFonts w:eastAsia="Times New Roman"/>
        </w:rPr>
      </w:pPr>
      <w:r>
        <w:t>日期：</w:t>
      </w:r>
      <w:r>
        <w:rPr>
          <w:rFonts w:eastAsia="Times New Roman"/>
          <w:u w:val="single"/>
        </w:rPr>
        <w:tab/>
      </w:r>
    </w:p>
    <w:p>
      <w:pPr>
        <w:pStyle w:val="20"/>
        <w:rPr>
          <w:sz w:val="20"/>
        </w:rPr>
      </w:pPr>
    </w:p>
    <w:p>
      <w:pPr>
        <w:pStyle w:val="20"/>
        <w:rPr>
          <w:sz w:val="20"/>
        </w:rPr>
      </w:pPr>
    </w:p>
    <w:p>
      <w:pPr>
        <w:pStyle w:val="20"/>
        <w:spacing w:before="4"/>
        <w:rPr>
          <w:sz w:val="16"/>
        </w:rPr>
      </w:pPr>
    </w:p>
    <w:p>
      <w:pPr>
        <w:spacing w:before="62"/>
        <w:ind w:left="4047"/>
        <w:rPr>
          <w:b/>
          <w:sz w:val="28"/>
        </w:rPr>
      </w:pPr>
      <w:r>
        <w:rPr>
          <w:b/>
          <w:sz w:val="28"/>
        </w:rPr>
        <w:t>无不良信用记录声明函</w:t>
      </w:r>
    </w:p>
    <w:p>
      <w:pPr>
        <w:pStyle w:val="20"/>
        <w:spacing w:before="187" w:line="364" w:lineRule="auto"/>
        <w:ind w:left="962" w:right="4108"/>
      </w:pPr>
      <w:r>
        <w:t>本公司郑重声明，我公司无以下不良信用记录情形： 1、公司被人民法院列入失信被执行人；</w:t>
      </w:r>
    </w:p>
    <w:p>
      <w:pPr>
        <w:pStyle w:val="20"/>
        <w:spacing w:line="306" w:lineRule="exact"/>
        <w:ind w:left="962"/>
      </w:pPr>
      <w:r>
        <w:t>2、公司、法定代表人或拟派项目负责人被人民检察院列入行贿犯罪档案；</w:t>
      </w:r>
    </w:p>
    <w:p>
      <w:pPr>
        <w:pStyle w:val="20"/>
        <w:spacing w:before="161"/>
        <w:ind w:left="962"/>
      </w:pPr>
      <w:r>
        <w:t>3、公司被工商行政管理部门列入企业经营异常名录；</w:t>
      </w:r>
    </w:p>
    <w:p>
      <w:pPr>
        <w:pStyle w:val="20"/>
        <w:spacing w:before="159"/>
        <w:ind w:left="962"/>
      </w:pPr>
      <w:r>
        <w:t>4、公司被税务部门列入重大税收违法案件当事人名单；</w:t>
      </w:r>
    </w:p>
    <w:p>
      <w:pPr>
        <w:pStyle w:val="20"/>
        <w:spacing w:before="160"/>
        <w:ind w:left="962"/>
      </w:pPr>
      <w:r>
        <w:t>5、公司被采购监管部门列入采购严重违法失信行为记录名单。</w:t>
      </w:r>
    </w:p>
    <w:p>
      <w:pPr>
        <w:spacing w:before="158" w:line="364" w:lineRule="auto"/>
        <w:ind w:left="528" w:right="659" w:firstLine="434"/>
        <w:rPr>
          <w:sz w:val="24"/>
        </w:rPr>
      </w:pPr>
      <w:r>
        <w:rPr>
          <w:b/>
          <w:spacing w:val="8"/>
          <w:w w:val="95"/>
          <w:sz w:val="24"/>
        </w:rPr>
        <w:t>我公司已就上述不良信用行为按照招标文件中投标供应商须知前附表规定进行了查</w:t>
      </w:r>
      <w:r>
        <w:rPr>
          <w:b/>
          <w:spacing w:val="8"/>
          <w:sz w:val="24"/>
        </w:rPr>
        <w:t>询。</w:t>
      </w:r>
      <w:r>
        <w:rPr>
          <w:spacing w:val="8"/>
          <w:sz w:val="24"/>
        </w:rPr>
        <w:t>我公司承诺：合同签订前，若我公司具有不良信用记录情形，贵方可取消我公司中标</w:t>
      </w:r>
      <w:r>
        <w:rPr>
          <w:spacing w:val="-1"/>
          <w:sz w:val="24"/>
        </w:rPr>
        <w:t>资格或者不授予合同，所有责任由我公司自行承担。同时，我公司愿意无条件接受监管部</w:t>
      </w:r>
      <w:r>
        <w:rPr>
          <w:sz w:val="24"/>
        </w:rPr>
        <w:t>门的调查处理。</w:t>
      </w:r>
    </w:p>
    <w:p>
      <w:pPr>
        <w:spacing w:line="360" w:lineRule="auto"/>
        <w:rPr>
          <w:rFonts w:ascii="宋体" w:hAnsi="宋体"/>
          <w:b/>
          <w:sz w:val="32"/>
          <w:szCs w:val="32"/>
        </w:rPr>
      </w:pPr>
    </w:p>
    <w:p>
      <w:pPr>
        <w:spacing w:line="400" w:lineRule="exact"/>
        <w:ind w:firstLine="560" w:firstLineChars="200"/>
        <w:jc w:val="center"/>
        <w:rPr>
          <w:rFonts w:ascii="宋体" w:hAnsi="宋体" w:cs="宋体"/>
          <w:b/>
          <w:bCs/>
          <w:sz w:val="28"/>
          <w:szCs w:val="28"/>
        </w:rPr>
      </w:pPr>
      <w:r>
        <w:rPr>
          <w:rFonts w:hint="eastAsia" w:ascii="宋体" w:hAnsi="宋体" w:cs="宋体"/>
          <w:b/>
          <w:bCs/>
          <w:sz w:val="28"/>
          <w:szCs w:val="28"/>
        </w:rPr>
        <w:t>无行贿犯罪行为承诺书</w:t>
      </w:r>
    </w:p>
    <w:p>
      <w:pPr>
        <w:spacing w:line="400" w:lineRule="exact"/>
        <w:ind w:firstLine="640" w:firstLineChars="200"/>
        <w:rPr>
          <w:rFonts w:ascii="仿宋" w:hAnsi="仿宋" w:eastAsia="仿宋" w:cs="仿宋"/>
          <w:sz w:val="32"/>
          <w:szCs w:val="32"/>
        </w:rPr>
      </w:pPr>
    </w:p>
    <w:p>
      <w:pPr>
        <w:spacing w:line="400" w:lineRule="exact"/>
        <w:ind w:firstLine="480" w:firstLineChars="200"/>
        <w:rPr>
          <w:rFonts w:ascii="宋体" w:hAnsi="宋体" w:cs="宋体"/>
          <w:sz w:val="24"/>
        </w:rPr>
      </w:pPr>
      <w:r>
        <w:rPr>
          <w:rFonts w:hint="eastAsia" w:ascii="宋体" w:hAnsi="宋体" w:cs="宋体"/>
          <w:sz w:val="24"/>
          <w:u w:val="single"/>
        </w:rPr>
        <w:t>投标人（单位名称）</w:t>
      </w:r>
      <w:r>
        <w:rPr>
          <w:rFonts w:hint="eastAsia" w:ascii="宋体" w:hAnsi="宋体" w:cs="宋体"/>
          <w:sz w:val="24"/>
        </w:rPr>
        <w:t>承诺：我单位法定代表人</w:t>
      </w:r>
      <w:r>
        <w:rPr>
          <w:rFonts w:hint="eastAsia" w:ascii="宋体" w:hAnsi="宋体" w:cs="宋体"/>
          <w:sz w:val="24"/>
          <w:u w:val="single"/>
        </w:rPr>
        <w:t>（姓名）</w:t>
      </w:r>
      <w:r>
        <w:rPr>
          <w:rFonts w:hint="eastAsia" w:ascii="宋体" w:hAnsi="宋体" w:cs="宋体"/>
          <w:sz w:val="24"/>
        </w:rPr>
        <w:t>及拟派项目负责人</w:t>
      </w:r>
      <w:r>
        <w:rPr>
          <w:rFonts w:hint="eastAsia" w:ascii="宋体" w:hAnsi="宋体" w:cs="宋体"/>
          <w:sz w:val="24"/>
          <w:u w:val="single"/>
        </w:rPr>
        <w:t>（姓名）</w:t>
      </w:r>
      <w:r>
        <w:rPr>
          <w:rFonts w:hint="eastAsia" w:ascii="宋体" w:hAnsi="宋体" w:cs="宋体"/>
          <w:sz w:val="24"/>
        </w:rPr>
        <w:t>截至投标时（以递交的投标文件截止为准）均无行贿犯罪行为，若存在，同意取消我单位中标资格，并追究我单位相关法律责任。</w:t>
      </w:r>
    </w:p>
    <w:p>
      <w:pPr>
        <w:spacing w:line="400" w:lineRule="exact"/>
        <w:rPr>
          <w:rFonts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 xml:space="preserve">        </w:t>
      </w:r>
    </w:p>
    <w:p>
      <w:pPr>
        <w:spacing w:line="400" w:lineRule="exact"/>
        <w:ind w:firstLine="480" w:firstLineChars="200"/>
        <w:jc w:val="right"/>
        <w:rPr>
          <w:rFonts w:ascii="宋体" w:hAnsi="宋体" w:cs="宋体"/>
          <w:sz w:val="24"/>
        </w:rPr>
      </w:pPr>
      <w:r>
        <w:rPr>
          <w:rFonts w:hint="eastAsia" w:ascii="宋体" w:hAnsi="宋体" w:cs="宋体"/>
          <w:sz w:val="24"/>
        </w:rPr>
        <w:t>（法定代表人签名并加盖公章）</w:t>
      </w:r>
    </w:p>
    <w:p>
      <w:pPr>
        <w:spacing w:line="400" w:lineRule="exact"/>
        <w:ind w:firstLine="480" w:firstLineChars="200"/>
        <w:jc w:val="right"/>
        <w:rPr>
          <w:rFonts w:ascii="宋体" w:hAnsi="宋体" w:cs="宋体"/>
          <w:sz w:val="24"/>
        </w:rPr>
      </w:pPr>
    </w:p>
    <w:p>
      <w:pPr>
        <w:spacing w:line="400" w:lineRule="exact"/>
        <w:ind w:firstLine="480" w:firstLineChars="200"/>
        <w:jc w:val="right"/>
        <w:rPr>
          <w:rFonts w:ascii="宋体" w:hAnsi="宋体" w:cs="宋体"/>
          <w:sz w:val="24"/>
        </w:rPr>
      </w:pPr>
      <w:r>
        <w:rPr>
          <w:rFonts w:hint="eastAsia" w:ascii="宋体" w:hAnsi="宋体" w:cs="宋体"/>
          <w:sz w:val="24"/>
        </w:rPr>
        <w:t>日期： 年  月  日</w:t>
      </w:r>
    </w:p>
    <w:p>
      <w:pPr>
        <w:spacing w:line="360" w:lineRule="auto"/>
        <w:rPr>
          <w:rFonts w:ascii="宋体" w:hAnsi="宋体"/>
          <w:b/>
          <w:sz w:val="32"/>
          <w:szCs w:val="32"/>
        </w:rPr>
      </w:pPr>
    </w:p>
    <w:p>
      <w:pPr>
        <w:spacing w:line="360" w:lineRule="auto"/>
        <w:jc w:val="center"/>
        <w:rPr>
          <w:rFonts w:ascii="宋体" w:hAnsi="宋体"/>
          <w:b/>
          <w:sz w:val="32"/>
          <w:szCs w:val="32"/>
        </w:rPr>
      </w:pPr>
      <w:r>
        <w:rPr>
          <w:rFonts w:hint="eastAsia" w:ascii="宋体" w:hAnsi="宋体"/>
          <w:b/>
          <w:sz w:val="32"/>
          <w:szCs w:val="32"/>
        </w:rPr>
        <w:t>十、资格审查资料</w:t>
      </w:r>
      <w:bookmarkEnd w:id="311"/>
      <w:bookmarkEnd w:id="312"/>
    </w:p>
    <w:p>
      <w:pPr>
        <w:spacing w:line="360" w:lineRule="auto"/>
        <w:jc w:val="center"/>
        <w:outlineLvl w:val="1"/>
        <w:rPr>
          <w:rFonts w:ascii="宋体" w:hAnsi="宋体"/>
          <w:b/>
          <w:sz w:val="28"/>
          <w:szCs w:val="28"/>
        </w:rPr>
      </w:pPr>
      <w:bookmarkStart w:id="313" w:name="_Toc394068472"/>
      <w:r>
        <w:rPr>
          <w:rFonts w:hint="eastAsia" w:ascii="宋体" w:hAnsi="宋体"/>
          <w:b/>
          <w:sz w:val="28"/>
          <w:szCs w:val="28"/>
        </w:rPr>
        <w:t>（一）投标人基本情况表</w:t>
      </w:r>
      <w:bookmarkEnd w:id="313"/>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973"/>
        <w:gridCol w:w="1111"/>
        <w:gridCol w:w="1078"/>
        <w:gridCol w:w="309"/>
        <w:gridCol w:w="211"/>
        <w:gridCol w:w="1355"/>
        <w:gridCol w:w="283"/>
        <w:gridCol w:w="771"/>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3" w:type="dxa"/>
            <w:vAlign w:val="center"/>
          </w:tcPr>
          <w:p>
            <w:pPr>
              <w:jc w:val="center"/>
              <w:rPr>
                <w:rFonts w:ascii="宋体" w:hAnsi="宋体"/>
                <w:szCs w:val="21"/>
              </w:rPr>
            </w:pPr>
            <w:r>
              <w:rPr>
                <w:rFonts w:hint="eastAsia" w:ascii="宋体" w:hAnsi="宋体"/>
                <w:szCs w:val="21"/>
              </w:rPr>
              <w:t>投标人名称</w:t>
            </w:r>
          </w:p>
        </w:tc>
        <w:tc>
          <w:tcPr>
            <w:tcW w:w="7629" w:type="dxa"/>
            <w:gridSpan w:val="9"/>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3" w:type="dxa"/>
            <w:vAlign w:val="center"/>
          </w:tcPr>
          <w:p>
            <w:pPr>
              <w:jc w:val="center"/>
              <w:rPr>
                <w:rFonts w:ascii="宋体" w:hAnsi="宋体"/>
                <w:szCs w:val="21"/>
              </w:rPr>
            </w:pPr>
            <w:r>
              <w:rPr>
                <w:rFonts w:hint="eastAsia" w:ascii="宋体" w:hAnsi="宋体"/>
                <w:szCs w:val="21"/>
              </w:rPr>
              <w:t>注册地址</w:t>
            </w:r>
          </w:p>
        </w:tc>
        <w:tc>
          <w:tcPr>
            <w:tcW w:w="3682" w:type="dxa"/>
            <w:gridSpan w:val="5"/>
            <w:vAlign w:val="center"/>
          </w:tcPr>
          <w:p>
            <w:pPr>
              <w:jc w:val="center"/>
              <w:rPr>
                <w:rFonts w:ascii="宋体" w:hAnsi="宋体"/>
                <w:szCs w:val="21"/>
              </w:rPr>
            </w:pPr>
          </w:p>
        </w:tc>
        <w:tc>
          <w:tcPr>
            <w:tcW w:w="1355" w:type="dxa"/>
            <w:vAlign w:val="center"/>
          </w:tcPr>
          <w:p>
            <w:pPr>
              <w:jc w:val="center"/>
              <w:rPr>
                <w:rFonts w:ascii="宋体" w:hAnsi="宋体"/>
                <w:szCs w:val="21"/>
              </w:rPr>
            </w:pPr>
            <w:r>
              <w:rPr>
                <w:rFonts w:hint="eastAsia" w:ascii="宋体" w:hAnsi="宋体"/>
                <w:szCs w:val="21"/>
              </w:rPr>
              <w:t>邮政编码</w:t>
            </w:r>
          </w:p>
        </w:tc>
        <w:tc>
          <w:tcPr>
            <w:tcW w:w="2592"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3" w:type="dxa"/>
            <w:vMerge w:val="restart"/>
            <w:vAlign w:val="center"/>
          </w:tcPr>
          <w:p>
            <w:pPr>
              <w:jc w:val="center"/>
              <w:rPr>
                <w:rFonts w:ascii="宋体" w:hAnsi="宋体"/>
                <w:szCs w:val="21"/>
              </w:rPr>
            </w:pPr>
            <w:r>
              <w:rPr>
                <w:rFonts w:hint="eastAsia" w:ascii="宋体" w:hAnsi="宋体"/>
                <w:szCs w:val="21"/>
              </w:rPr>
              <w:t>联系方式</w:t>
            </w:r>
          </w:p>
        </w:tc>
        <w:tc>
          <w:tcPr>
            <w:tcW w:w="973" w:type="dxa"/>
            <w:vAlign w:val="center"/>
          </w:tcPr>
          <w:p>
            <w:pPr>
              <w:jc w:val="center"/>
              <w:rPr>
                <w:rFonts w:ascii="宋体" w:hAnsi="宋体"/>
                <w:szCs w:val="21"/>
              </w:rPr>
            </w:pPr>
            <w:r>
              <w:rPr>
                <w:rFonts w:hint="eastAsia" w:ascii="宋体" w:hAnsi="宋体"/>
                <w:szCs w:val="21"/>
              </w:rPr>
              <w:t>联系人</w:t>
            </w:r>
          </w:p>
        </w:tc>
        <w:tc>
          <w:tcPr>
            <w:tcW w:w="2709" w:type="dxa"/>
            <w:gridSpan w:val="4"/>
            <w:vAlign w:val="center"/>
          </w:tcPr>
          <w:p>
            <w:pPr>
              <w:jc w:val="center"/>
              <w:rPr>
                <w:rFonts w:ascii="宋体" w:hAnsi="宋体"/>
                <w:szCs w:val="21"/>
              </w:rPr>
            </w:pPr>
          </w:p>
        </w:tc>
        <w:tc>
          <w:tcPr>
            <w:tcW w:w="1355" w:type="dxa"/>
            <w:vAlign w:val="center"/>
          </w:tcPr>
          <w:p>
            <w:pPr>
              <w:jc w:val="center"/>
              <w:rPr>
                <w:rFonts w:ascii="宋体" w:hAnsi="宋体"/>
                <w:szCs w:val="21"/>
              </w:rPr>
            </w:pPr>
            <w:r>
              <w:rPr>
                <w:rFonts w:hint="eastAsia" w:ascii="宋体" w:hAnsi="宋体"/>
                <w:szCs w:val="21"/>
              </w:rPr>
              <w:t>电  话</w:t>
            </w:r>
          </w:p>
        </w:tc>
        <w:tc>
          <w:tcPr>
            <w:tcW w:w="2592"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dxa"/>
            <w:vMerge w:val="continue"/>
            <w:vAlign w:val="center"/>
          </w:tcPr>
          <w:p>
            <w:pPr>
              <w:jc w:val="center"/>
              <w:rPr>
                <w:rFonts w:ascii="宋体" w:hAnsi="宋体"/>
                <w:szCs w:val="21"/>
              </w:rPr>
            </w:pPr>
          </w:p>
        </w:tc>
        <w:tc>
          <w:tcPr>
            <w:tcW w:w="973" w:type="dxa"/>
            <w:vAlign w:val="center"/>
          </w:tcPr>
          <w:p>
            <w:pPr>
              <w:jc w:val="center"/>
              <w:rPr>
                <w:rFonts w:ascii="宋体" w:hAnsi="宋体"/>
                <w:szCs w:val="21"/>
              </w:rPr>
            </w:pPr>
            <w:r>
              <w:rPr>
                <w:rFonts w:hint="eastAsia" w:ascii="宋体" w:hAnsi="宋体"/>
                <w:szCs w:val="21"/>
              </w:rPr>
              <w:t>传  真</w:t>
            </w:r>
          </w:p>
        </w:tc>
        <w:tc>
          <w:tcPr>
            <w:tcW w:w="2709" w:type="dxa"/>
            <w:gridSpan w:val="4"/>
            <w:vAlign w:val="center"/>
          </w:tcPr>
          <w:p>
            <w:pPr>
              <w:jc w:val="center"/>
              <w:rPr>
                <w:rFonts w:ascii="宋体" w:hAnsi="宋体"/>
                <w:szCs w:val="21"/>
              </w:rPr>
            </w:pPr>
          </w:p>
        </w:tc>
        <w:tc>
          <w:tcPr>
            <w:tcW w:w="1355" w:type="dxa"/>
            <w:vAlign w:val="center"/>
          </w:tcPr>
          <w:p>
            <w:pPr>
              <w:jc w:val="center"/>
              <w:rPr>
                <w:rFonts w:ascii="宋体" w:hAnsi="宋体"/>
                <w:szCs w:val="21"/>
              </w:rPr>
            </w:pPr>
            <w:r>
              <w:rPr>
                <w:rFonts w:hint="eastAsia" w:ascii="宋体" w:hAnsi="宋体"/>
                <w:szCs w:val="21"/>
              </w:rPr>
              <w:t>手  机</w:t>
            </w:r>
          </w:p>
        </w:tc>
        <w:tc>
          <w:tcPr>
            <w:tcW w:w="2592"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3" w:type="dxa"/>
            <w:vAlign w:val="center"/>
          </w:tcPr>
          <w:p>
            <w:pPr>
              <w:jc w:val="center"/>
              <w:rPr>
                <w:rFonts w:ascii="宋体" w:hAnsi="宋体"/>
                <w:szCs w:val="21"/>
              </w:rPr>
            </w:pPr>
            <w:r>
              <w:rPr>
                <w:rFonts w:hint="eastAsia" w:ascii="宋体" w:hAnsi="宋体"/>
                <w:szCs w:val="21"/>
              </w:rPr>
              <w:t>法定代表人</w:t>
            </w:r>
          </w:p>
        </w:tc>
        <w:tc>
          <w:tcPr>
            <w:tcW w:w="973" w:type="dxa"/>
            <w:vAlign w:val="center"/>
          </w:tcPr>
          <w:p>
            <w:pPr>
              <w:jc w:val="center"/>
              <w:rPr>
                <w:rFonts w:ascii="宋体" w:hAnsi="宋体"/>
                <w:szCs w:val="21"/>
              </w:rPr>
            </w:pPr>
            <w:r>
              <w:rPr>
                <w:rFonts w:hint="eastAsia" w:ascii="宋体" w:hAnsi="宋体"/>
                <w:szCs w:val="21"/>
              </w:rPr>
              <w:t>姓名</w:t>
            </w:r>
          </w:p>
        </w:tc>
        <w:tc>
          <w:tcPr>
            <w:tcW w:w="1111" w:type="dxa"/>
            <w:vAlign w:val="center"/>
          </w:tcPr>
          <w:p>
            <w:pPr>
              <w:jc w:val="center"/>
              <w:rPr>
                <w:rFonts w:ascii="宋体" w:hAnsi="宋体"/>
                <w:szCs w:val="21"/>
              </w:rPr>
            </w:pPr>
          </w:p>
        </w:tc>
        <w:tc>
          <w:tcPr>
            <w:tcW w:w="1387" w:type="dxa"/>
            <w:gridSpan w:val="2"/>
            <w:vAlign w:val="center"/>
          </w:tcPr>
          <w:p>
            <w:pPr>
              <w:jc w:val="center"/>
              <w:rPr>
                <w:rFonts w:ascii="宋体" w:hAnsi="宋体"/>
                <w:szCs w:val="21"/>
              </w:rPr>
            </w:pPr>
            <w:r>
              <w:rPr>
                <w:rFonts w:hint="eastAsia" w:ascii="宋体" w:hAnsi="宋体"/>
                <w:szCs w:val="21"/>
              </w:rPr>
              <w:t>技术职称</w:t>
            </w:r>
          </w:p>
        </w:tc>
        <w:tc>
          <w:tcPr>
            <w:tcW w:w="1849" w:type="dxa"/>
            <w:gridSpan w:val="3"/>
            <w:vAlign w:val="center"/>
          </w:tcPr>
          <w:p>
            <w:pPr>
              <w:jc w:val="center"/>
              <w:rPr>
                <w:rFonts w:ascii="宋体" w:hAnsi="宋体"/>
                <w:szCs w:val="21"/>
              </w:rPr>
            </w:pPr>
          </w:p>
        </w:tc>
        <w:tc>
          <w:tcPr>
            <w:tcW w:w="771" w:type="dxa"/>
            <w:vAlign w:val="center"/>
          </w:tcPr>
          <w:p>
            <w:pPr>
              <w:jc w:val="center"/>
              <w:rPr>
                <w:rFonts w:ascii="宋体" w:hAnsi="宋体"/>
                <w:szCs w:val="21"/>
              </w:rPr>
            </w:pPr>
            <w:r>
              <w:rPr>
                <w:rFonts w:hint="eastAsia" w:ascii="宋体" w:hAnsi="宋体"/>
                <w:szCs w:val="21"/>
              </w:rPr>
              <w:t>电话</w:t>
            </w:r>
          </w:p>
        </w:tc>
        <w:tc>
          <w:tcPr>
            <w:tcW w:w="153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3" w:type="dxa"/>
            <w:vAlign w:val="center"/>
          </w:tcPr>
          <w:p>
            <w:pPr>
              <w:jc w:val="center"/>
              <w:rPr>
                <w:rFonts w:ascii="宋体" w:hAnsi="宋体"/>
                <w:szCs w:val="21"/>
              </w:rPr>
            </w:pPr>
            <w:r>
              <w:rPr>
                <w:rFonts w:hint="eastAsia" w:ascii="宋体" w:hAnsi="宋体"/>
                <w:szCs w:val="21"/>
              </w:rPr>
              <w:t>技术负责人</w:t>
            </w:r>
          </w:p>
        </w:tc>
        <w:tc>
          <w:tcPr>
            <w:tcW w:w="973" w:type="dxa"/>
            <w:vAlign w:val="center"/>
          </w:tcPr>
          <w:p>
            <w:pPr>
              <w:jc w:val="center"/>
              <w:rPr>
                <w:rFonts w:ascii="宋体" w:hAnsi="宋体"/>
                <w:szCs w:val="21"/>
              </w:rPr>
            </w:pPr>
            <w:r>
              <w:rPr>
                <w:rFonts w:hint="eastAsia" w:ascii="宋体" w:hAnsi="宋体"/>
                <w:szCs w:val="21"/>
              </w:rPr>
              <w:t>姓名</w:t>
            </w:r>
          </w:p>
        </w:tc>
        <w:tc>
          <w:tcPr>
            <w:tcW w:w="1111" w:type="dxa"/>
            <w:vAlign w:val="center"/>
          </w:tcPr>
          <w:p>
            <w:pPr>
              <w:jc w:val="center"/>
              <w:rPr>
                <w:rFonts w:ascii="宋体" w:hAnsi="宋体"/>
                <w:szCs w:val="21"/>
              </w:rPr>
            </w:pPr>
          </w:p>
        </w:tc>
        <w:tc>
          <w:tcPr>
            <w:tcW w:w="1387" w:type="dxa"/>
            <w:gridSpan w:val="2"/>
            <w:vAlign w:val="center"/>
          </w:tcPr>
          <w:p>
            <w:pPr>
              <w:jc w:val="center"/>
              <w:rPr>
                <w:rFonts w:ascii="宋体" w:hAnsi="宋体"/>
                <w:szCs w:val="21"/>
              </w:rPr>
            </w:pPr>
            <w:r>
              <w:rPr>
                <w:rFonts w:hint="eastAsia" w:ascii="宋体" w:hAnsi="宋体"/>
                <w:szCs w:val="21"/>
              </w:rPr>
              <w:t>技术职称</w:t>
            </w:r>
          </w:p>
        </w:tc>
        <w:tc>
          <w:tcPr>
            <w:tcW w:w="1849" w:type="dxa"/>
            <w:gridSpan w:val="3"/>
            <w:vAlign w:val="center"/>
          </w:tcPr>
          <w:p>
            <w:pPr>
              <w:jc w:val="center"/>
              <w:rPr>
                <w:rFonts w:ascii="宋体" w:hAnsi="宋体"/>
                <w:szCs w:val="21"/>
              </w:rPr>
            </w:pPr>
          </w:p>
        </w:tc>
        <w:tc>
          <w:tcPr>
            <w:tcW w:w="771" w:type="dxa"/>
            <w:vAlign w:val="center"/>
          </w:tcPr>
          <w:p>
            <w:pPr>
              <w:jc w:val="center"/>
              <w:rPr>
                <w:rFonts w:ascii="宋体" w:hAnsi="宋体"/>
                <w:szCs w:val="21"/>
              </w:rPr>
            </w:pPr>
            <w:r>
              <w:rPr>
                <w:rFonts w:hint="eastAsia" w:ascii="宋体" w:hAnsi="宋体"/>
                <w:szCs w:val="21"/>
              </w:rPr>
              <w:t>电话</w:t>
            </w:r>
          </w:p>
        </w:tc>
        <w:tc>
          <w:tcPr>
            <w:tcW w:w="153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3" w:type="dxa"/>
            <w:vAlign w:val="center"/>
          </w:tcPr>
          <w:p>
            <w:pPr>
              <w:jc w:val="center"/>
              <w:rPr>
                <w:rFonts w:ascii="宋体" w:hAnsi="宋体"/>
                <w:szCs w:val="21"/>
              </w:rPr>
            </w:pPr>
            <w:r>
              <w:rPr>
                <w:rFonts w:hint="eastAsia" w:ascii="宋体" w:hAnsi="宋体"/>
                <w:szCs w:val="21"/>
              </w:rPr>
              <w:t>成立时间</w:t>
            </w:r>
          </w:p>
        </w:tc>
        <w:tc>
          <w:tcPr>
            <w:tcW w:w="2084" w:type="dxa"/>
            <w:gridSpan w:val="2"/>
            <w:vAlign w:val="center"/>
          </w:tcPr>
          <w:p>
            <w:pPr>
              <w:jc w:val="center"/>
              <w:rPr>
                <w:rFonts w:ascii="宋体" w:hAnsi="宋体"/>
                <w:szCs w:val="21"/>
              </w:rPr>
            </w:pPr>
          </w:p>
        </w:tc>
        <w:tc>
          <w:tcPr>
            <w:tcW w:w="5545" w:type="dxa"/>
            <w:gridSpan w:val="7"/>
            <w:vAlign w:val="center"/>
          </w:tcPr>
          <w:p>
            <w:pPr>
              <w:rPr>
                <w:rFonts w:ascii="宋体" w:hAnsi="宋体"/>
                <w:szCs w:val="21"/>
              </w:rPr>
            </w:pPr>
            <w:r>
              <w:rPr>
                <w:rFonts w:hint="eastAsia" w:ascii="宋体" w:hAnsi="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3" w:type="dxa"/>
            <w:vAlign w:val="center"/>
          </w:tcPr>
          <w:p>
            <w:pPr>
              <w:jc w:val="center"/>
              <w:rPr>
                <w:rFonts w:ascii="宋体" w:hAnsi="宋体"/>
                <w:szCs w:val="21"/>
              </w:rPr>
            </w:pPr>
            <w:r>
              <w:rPr>
                <w:rFonts w:hint="eastAsia" w:ascii="宋体" w:hAnsi="宋体"/>
                <w:szCs w:val="21"/>
              </w:rPr>
              <w:t>营业执照号</w:t>
            </w:r>
          </w:p>
        </w:tc>
        <w:tc>
          <w:tcPr>
            <w:tcW w:w="3162" w:type="dxa"/>
            <w:gridSpan w:val="3"/>
            <w:vAlign w:val="center"/>
          </w:tcPr>
          <w:p>
            <w:pPr>
              <w:jc w:val="center"/>
              <w:rPr>
                <w:rFonts w:ascii="宋体" w:hAnsi="宋体"/>
                <w:szCs w:val="21"/>
              </w:rPr>
            </w:pPr>
          </w:p>
        </w:tc>
        <w:tc>
          <w:tcPr>
            <w:tcW w:w="2158" w:type="dxa"/>
            <w:gridSpan w:val="4"/>
            <w:vAlign w:val="center"/>
          </w:tcPr>
          <w:p>
            <w:pPr>
              <w:jc w:val="center"/>
              <w:rPr>
                <w:rFonts w:ascii="宋体" w:hAnsi="宋体"/>
                <w:szCs w:val="21"/>
              </w:rPr>
            </w:pPr>
            <w:r>
              <w:rPr>
                <w:rFonts w:hint="eastAsia" w:ascii="宋体" w:hAnsi="宋体"/>
                <w:szCs w:val="21"/>
              </w:rPr>
              <w:t>注册资金</w:t>
            </w:r>
          </w:p>
        </w:tc>
        <w:tc>
          <w:tcPr>
            <w:tcW w:w="2309"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3" w:type="dxa"/>
            <w:vAlign w:val="center"/>
          </w:tcPr>
          <w:p>
            <w:pPr>
              <w:jc w:val="center"/>
              <w:rPr>
                <w:rFonts w:ascii="宋体" w:hAnsi="宋体"/>
                <w:szCs w:val="21"/>
              </w:rPr>
            </w:pPr>
            <w:r>
              <w:rPr>
                <w:rFonts w:hint="eastAsia" w:ascii="宋体" w:hAnsi="宋体"/>
                <w:szCs w:val="21"/>
              </w:rPr>
              <w:t>开户银行</w:t>
            </w:r>
          </w:p>
        </w:tc>
        <w:tc>
          <w:tcPr>
            <w:tcW w:w="3162" w:type="dxa"/>
            <w:gridSpan w:val="3"/>
            <w:vAlign w:val="center"/>
          </w:tcPr>
          <w:p>
            <w:pPr>
              <w:jc w:val="center"/>
              <w:rPr>
                <w:rFonts w:ascii="宋体" w:hAnsi="宋体"/>
                <w:szCs w:val="21"/>
              </w:rPr>
            </w:pPr>
          </w:p>
        </w:tc>
        <w:tc>
          <w:tcPr>
            <w:tcW w:w="2158" w:type="dxa"/>
            <w:gridSpan w:val="4"/>
            <w:vAlign w:val="center"/>
          </w:tcPr>
          <w:p>
            <w:pPr>
              <w:jc w:val="center"/>
              <w:rPr>
                <w:rFonts w:ascii="宋体" w:hAnsi="宋体"/>
                <w:szCs w:val="21"/>
              </w:rPr>
            </w:pPr>
            <w:r>
              <w:rPr>
                <w:rFonts w:hint="eastAsia" w:ascii="宋体" w:hAnsi="宋体"/>
                <w:szCs w:val="21"/>
              </w:rPr>
              <w:t>账  号</w:t>
            </w:r>
          </w:p>
        </w:tc>
        <w:tc>
          <w:tcPr>
            <w:tcW w:w="2309"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13" w:type="dxa"/>
            <w:vAlign w:val="center"/>
          </w:tcPr>
          <w:p>
            <w:pPr>
              <w:jc w:val="center"/>
              <w:rPr>
                <w:rFonts w:ascii="宋体" w:hAnsi="宋体"/>
                <w:szCs w:val="21"/>
              </w:rPr>
            </w:pPr>
            <w:r>
              <w:rPr>
                <w:rFonts w:hint="eastAsia" w:ascii="宋体" w:hAnsi="宋体"/>
                <w:szCs w:val="21"/>
              </w:rPr>
              <w:t>经营范围</w:t>
            </w:r>
          </w:p>
        </w:tc>
        <w:tc>
          <w:tcPr>
            <w:tcW w:w="7629" w:type="dxa"/>
            <w:gridSpan w:val="9"/>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613" w:type="dxa"/>
            <w:vAlign w:val="center"/>
          </w:tcPr>
          <w:p>
            <w:pPr>
              <w:jc w:val="center"/>
              <w:rPr>
                <w:rFonts w:ascii="宋体" w:hAnsi="宋体"/>
                <w:szCs w:val="21"/>
              </w:rPr>
            </w:pPr>
            <w:r>
              <w:rPr>
                <w:rFonts w:hint="eastAsia" w:ascii="宋体" w:hAnsi="宋体"/>
                <w:szCs w:val="21"/>
              </w:rPr>
              <w:t>备注</w:t>
            </w:r>
          </w:p>
        </w:tc>
        <w:tc>
          <w:tcPr>
            <w:tcW w:w="7629" w:type="dxa"/>
            <w:gridSpan w:val="9"/>
            <w:vAlign w:val="center"/>
          </w:tcPr>
          <w:p>
            <w:pPr>
              <w:jc w:val="center"/>
              <w:rPr>
                <w:rFonts w:ascii="宋体" w:hAnsi="宋体"/>
                <w:szCs w:val="21"/>
              </w:rPr>
            </w:pPr>
          </w:p>
        </w:tc>
      </w:tr>
    </w:tbl>
    <w:p>
      <w:pPr>
        <w:spacing w:line="440" w:lineRule="exact"/>
        <w:rPr>
          <w:rFonts w:ascii="宋体" w:hAnsi="宋体" w:cs="宋体"/>
          <w:szCs w:val="21"/>
        </w:rPr>
      </w:pPr>
      <w:r>
        <w:rPr>
          <w:rFonts w:hint="eastAsia" w:ascii="宋体" w:hAnsi="宋体"/>
          <w:szCs w:val="21"/>
        </w:rPr>
        <w:t>备注：</w:t>
      </w:r>
      <w:r>
        <w:rPr>
          <w:rFonts w:hint="eastAsia" w:ascii="宋体" w:hAnsi="宋体" w:cs="宋体"/>
          <w:szCs w:val="21"/>
        </w:rPr>
        <w:t>企业营业执照副本（营业执照三证合一只需提供营业执照）、税务登记证副本、组织机构代码证副本、无行贿犯罪记录查询函等资料复印件，并逐页加盖公章。</w:t>
      </w:r>
      <w:bookmarkEnd w:id="299"/>
      <w:bookmarkStart w:id="314" w:name="_Toc318491596"/>
      <w:bookmarkStart w:id="315" w:name="_Toc321926748"/>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b/>
          <w:sz w:val="28"/>
        </w:rPr>
      </w:pPr>
      <w:r>
        <w:rPr>
          <w:rFonts w:hint="eastAsia"/>
          <w:b/>
          <w:sz w:val="28"/>
        </w:rPr>
        <w:t>（二）近年财务状况表</w:t>
      </w:r>
      <w:bookmarkEnd w:id="314"/>
      <w:bookmarkEnd w:id="315"/>
    </w:p>
    <w:p>
      <w:pPr>
        <w:spacing w:beforeLines="50" w:afterLines="50"/>
        <w:jc w:val="center"/>
        <w:rPr>
          <w:rFonts w:ascii="宋体" w:hAnsi="宋体"/>
          <w:b/>
          <w:sz w:val="24"/>
        </w:rPr>
      </w:pPr>
      <w:r>
        <w:rPr>
          <w:rFonts w:hint="eastAsia" w:ascii="宋体" w:hAnsi="宋体"/>
          <w:b/>
          <w:sz w:val="24"/>
        </w:rPr>
        <w:t>财务状况表</w:t>
      </w:r>
    </w:p>
    <w:tbl>
      <w:tblPr>
        <w:tblStyle w:val="43"/>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8"/>
        <w:gridCol w:w="990"/>
        <w:gridCol w:w="3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jc w:val="center"/>
              <w:rPr>
                <w:rFonts w:ascii="宋体" w:hAnsi="宋体"/>
                <w:b/>
                <w:szCs w:val="21"/>
              </w:rPr>
            </w:pPr>
            <w:r>
              <w:rPr>
                <w:rFonts w:hint="eastAsia" w:ascii="宋体" w:hAnsi="宋体"/>
                <w:b/>
                <w:szCs w:val="21"/>
              </w:rPr>
              <w:t>项目或指标</w:t>
            </w:r>
          </w:p>
        </w:tc>
        <w:tc>
          <w:tcPr>
            <w:tcW w:w="990" w:type="dxa"/>
            <w:vAlign w:val="center"/>
          </w:tcPr>
          <w:p>
            <w:pPr>
              <w:snapToGrid w:val="0"/>
              <w:jc w:val="center"/>
              <w:rPr>
                <w:rFonts w:ascii="宋体" w:hAnsi="宋体"/>
                <w:b/>
                <w:szCs w:val="21"/>
              </w:rPr>
            </w:pPr>
            <w:r>
              <w:rPr>
                <w:rFonts w:hint="eastAsia" w:ascii="宋体" w:hAnsi="宋体"/>
                <w:b/>
                <w:szCs w:val="21"/>
              </w:rPr>
              <w:t>单位</w:t>
            </w:r>
          </w:p>
        </w:tc>
        <w:tc>
          <w:tcPr>
            <w:tcW w:w="3770" w:type="dxa"/>
            <w:vAlign w:val="center"/>
          </w:tcPr>
          <w:p>
            <w:pPr>
              <w:snapToGrid w:val="0"/>
              <w:jc w:val="center"/>
              <w:rPr>
                <w:rFonts w:ascii="宋体" w:hAnsi="宋体"/>
                <w:b/>
                <w:szCs w:val="21"/>
              </w:rPr>
            </w:pPr>
            <w:r>
              <w:rPr>
                <w:rFonts w:hint="eastAsia" w:ascii="宋体" w:hAnsi="宋体"/>
                <w:b/>
                <w:szCs w:val="21"/>
                <w:u w:val="single"/>
              </w:rPr>
              <w:t xml:space="preserve">     </w:t>
            </w:r>
            <w:r>
              <w:rPr>
                <w:rFonts w:hint="eastAsia" w:ascii="宋体" w:hAnsi="宋体"/>
                <w:b/>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rPr>
                <w:rFonts w:ascii="宋体" w:hAnsi="宋体"/>
                <w:szCs w:val="21"/>
              </w:rPr>
            </w:pPr>
            <w:r>
              <w:rPr>
                <w:rFonts w:hint="eastAsia" w:ascii="宋体" w:hAnsi="宋体"/>
                <w:szCs w:val="21"/>
              </w:rPr>
              <w:t>一、注册资金</w:t>
            </w:r>
          </w:p>
        </w:tc>
        <w:tc>
          <w:tcPr>
            <w:tcW w:w="990" w:type="dxa"/>
            <w:vAlign w:val="center"/>
          </w:tcPr>
          <w:p>
            <w:pPr>
              <w:snapToGrid w:val="0"/>
              <w:jc w:val="center"/>
              <w:rPr>
                <w:rFonts w:ascii="宋体" w:hAnsi="宋体"/>
                <w:szCs w:val="21"/>
              </w:rPr>
            </w:pPr>
            <w:r>
              <w:rPr>
                <w:rFonts w:hint="eastAsia" w:ascii="宋体" w:hAnsi="宋体"/>
                <w:szCs w:val="21"/>
              </w:rPr>
              <w:t>万元</w:t>
            </w: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rPr>
                <w:rFonts w:ascii="宋体" w:hAnsi="宋体"/>
                <w:szCs w:val="21"/>
              </w:rPr>
            </w:pPr>
            <w:r>
              <w:rPr>
                <w:rFonts w:hint="eastAsia" w:ascii="宋体" w:hAnsi="宋体"/>
                <w:szCs w:val="21"/>
              </w:rPr>
              <w:t>二、净资产</w:t>
            </w:r>
          </w:p>
        </w:tc>
        <w:tc>
          <w:tcPr>
            <w:tcW w:w="990" w:type="dxa"/>
            <w:vAlign w:val="center"/>
          </w:tcPr>
          <w:p>
            <w:pPr>
              <w:snapToGrid w:val="0"/>
              <w:jc w:val="center"/>
              <w:rPr>
                <w:rFonts w:ascii="宋体" w:hAnsi="宋体"/>
                <w:szCs w:val="21"/>
              </w:rPr>
            </w:pPr>
            <w:r>
              <w:rPr>
                <w:rFonts w:hint="eastAsia" w:ascii="宋体" w:hAnsi="宋体"/>
                <w:szCs w:val="21"/>
              </w:rPr>
              <w:t>万元</w:t>
            </w: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rPr>
                <w:rFonts w:ascii="宋体" w:hAnsi="宋体"/>
                <w:szCs w:val="21"/>
              </w:rPr>
            </w:pPr>
            <w:r>
              <w:rPr>
                <w:rFonts w:hint="eastAsia" w:ascii="宋体" w:hAnsi="宋体"/>
                <w:szCs w:val="21"/>
              </w:rPr>
              <w:t>三、总资产</w:t>
            </w:r>
          </w:p>
        </w:tc>
        <w:tc>
          <w:tcPr>
            <w:tcW w:w="990" w:type="dxa"/>
            <w:vAlign w:val="center"/>
          </w:tcPr>
          <w:p>
            <w:pPr>
              <w:snapToGrid w:val="0"/>
              <w:jc w:val="center"/>
              <w:rPr>
                <w:rFonts w:ascii="宋体" w:hAnsi="宋体"/>
                <w:szCs w:val="21"/>
              </w:rPr>
            </w:pPr>
            <w:r>
              <w:rPr>
                <w:rFonts w:hint="eastAsia" w:ascii="宋体" w:hAnsi="宋体"/>
                <w:szCs w:val="21"/>
              </w:rPr>
              <w:t>万元</w:t>
            </w: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rPr>
                <w:rFonts w:ascii="宋体" w:hAnsi="宋体"/>
                <w:szCs w:val="21"/>
              </w:rPr>
            </w:pPr>
            <w:r>
              <w:rPr>
                <w:rFonts w:hint="eastAsia" w:ascii="宋体" w:hAnsi="宋体"/>
                <w:szCs w:val="21"/>
              </w:rPr>
              <w:t>四、固定资产</w:t>
            </w:r>
          </w:p>
        </w:tc>
        <w:tc>
          <w:tcPr>
            <w:tcW w:w="990" w:type="dxa"/>
            <w:vAlign w:val="center"/>
          </w:tcPr>
          <w:p>
            <w:pPr>
              <w:snapToGrid w:val="0"/>
              <w:jc w:val="center"/>
              <w:rPr>
                <w:rFonts w:ascii="宋体" w:hAnsi="宋体"/>
                <w:szCs w:val="21"/>
              </w:rPr>
            </w:pPr>
            <w:r>
              <w:rPr>
                <w:rFonts w:hint="eastAsia" w:ascii="宋体" w:hAnsi="宋体"/>
                <w:szCs w:val="21"/>
              </w:rPr>
              <w:t>万元</w:t>
            </w: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rPr>
                <w:rFonts w:ascii="宋体" w:hAnsi="宋体"/>
                <w:szCs w:val="21"/>
              </w:rPr>
            </w:pPr>
            <w:r>
              <w:rPr>
                <w:rFonts w:hint="eastAsia" w:ascii="宋体" w:hAnsi="宋体"/>
                <w:szCs w:val="21"/>
              </w:rPr>
              <w:t>五、流动资产</w:t>
            </w:r>
          </w:p>
        </w:tc>
        <w:tc>
          <w:tcPr>
            <w:tcW w:w="990" w:type="dxa"/>
            <w:vAlign w:val="center"/>
          </w:tcPr>
          <w:p>
            <w:pPr>
              <w:snapToGrid w:val="0"/>
              <w:jc w:val="center"/>
              <w:rPr>
                <w:rFonts w:ascii="宋体" w:hAnsi="宋体"/>
                <w:szCs w:val="21"/>
              </w:rPr>
            </w:pPr>
            <w:r>
              <w:rPr>
                <w:rFonts w:hint="eastAsia" w:ascii="宋体" w:hAnsi="宋体"/>
                <w:szCs w:val="21"/>
              </w:rPr>
              <w:t>万元</w:t>
            </w: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rPr>
                <w:rFonts w:ascii="宋体" w:hAnsi="宋体"/>
                <w:szCs w:val="21"/>
              </w:rPr>
            </w:pPr>
            <w:r>
              <w:rPr>
                <w:rFonts w:hint="eastAsia" w:ascii="宋体" w:hAnsi="宋体"/>
                <w:szCs w:val="21"/>
              </w:rPr>
              <w:t>六、流动负债</w:t>
            </w:r>
          </w:p>
        </w:tc>
        <w:tc>
          <w:tcPr>
            <w:tcW w:w="990" w:type="dxa"/>
            <w:vAlign w:val="center"/>
          </w:tcPr>
          <w:p>
            <w:pPr>
              <w:snapToGrid w:val="0"/>
              <w:jc w:val="center"/>
              <w:rPr>
                <w:rFonts w:ascii="宋体" w:hAnsi="宋体"/>
                <w:szCs w:val="21"/>
              </w:rPr>
            </w:pPr>
            <w:r>
              <w:rPr>
                <w:rFonts w:hint="eastAsia" w:ascii="宋体" w:hAnsi="宋体"/>
                <w:szCs w:val="21"/>
              </w:rPr>
              <w:t>万元</w:t>
            </w: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rPr>
                <w:rFonts w:ascii="宋体" w:hAnsi="宋体"/>
                <w:szCs w:val="21"/>
              </w:rPr>
            </w:pPr>
            <w:r>
              <w:rPr>
                <w:rFonts w:hint="eastAsia" w:ascii="宋体" w:hAnsi="宋体"/>
                <w:szCs w:val="21"/>
              </w:rPr>
              <w:t>七、负债合计</w:t>
            </w:r>
          </w:p>
        </w:tc>
        <w:tc>
          <w:tcPr>
            <w:tcW w:w="990" w:type="dxa"/>
            <w:vAlign w:val="center"/>
          </w:tcPr>
          <w:p>
            <w:pPr>
              <w:snapToGrid w:val="0"/>
              <w:jc w:val="center"/>
              <w:rPr>
                <w:rFonts w:ascii="宋体" w:hAnsi="宋体"/>
                <w:szCs w:val="21"/>
              </w:rPr>
            </w:pPr>
            <w:r>
              <w:rPr>
                <w:rFonts w:hint="eastAsia" w:ascii="宋体" w:hAnsi="宋体"/>
                <w:szCs w:val="21"/>
              </w:rPr>
              <w:t>万元</w:t>
            </w: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rPr>
                <w:rFonts w:ascii="宋体" w:hAnsi="宋体"/>
                <w:szCs w:val="21"/>
              </w:rPr>
            </w:pPr>
            <w:r>
              <w:rPr>
                <w:rFonts w:hint="eastAsia" w:ascii="宋体" w:hAnsi="宋体"/>
                <w:szCs w:val="21"/>
              </w:rPr>
              <w:t>八、营业收入</w:t>
            </w:r>
          </w:p>
        </w:tc>
        <w:tc>
          <w:tcPr>
            <w:tcW w:w="990" w:type="dxa"/>
            <w:vAlign w:val="center"/>
          </w:tcPr>
          <w:p>
            <w:pPr>
              <w:snapToGrid w:val="0"/>
              <w:jc w:val="center"/>
              <w:rPr>
                <w:rFonts w:ascii="宋体" w:hAnsi="宋体"/>
                <w:szCs w:val="21"/>
              </w:rPr>
            </w:pPr>
            <w:r>
              <w:rPr>
                <w:rFonts w:hint="eastAsia" w:ascii="宋体" w:hAnsi="宋体"/>
                <w:szCs w:val="21"/>
              </w:rPr>
              <w:t>万元</w:t>
            </w: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rPr>
                <w:rFonts w:ascii="宋体" w:hAnsi="宋体"/>
                <w:szCs w:val="21"/>
              </w:rPr>
            </w:pPr>
            <w:r>
              <w:rPr>
                <w:rFonts w:hint="eastAsia" w:ascii="宋体" w:hAnsi="宋体"/>
                <w:szCs w:val="21"/>
              </w:rPr>
              <w:t>九、净利润</w:t>
            </w:r>
          </w:p>
        </w:tc>
        <w:tc>
          <w:tcPr>
            <w:tcW w:w="990" w:type="dxa"/>
            <w:vAlign w:val="center"/>
          </w:tcPr>
          <w:p>
            <w:pPr>
              <w:snapToGrid w:val="0"/>
              <w:jc w:val="center"/>
              <w:rPr>
                <w:rFonts w:ascii="宋体" w:hAnsi="宋体"/>
                <w:szCs w:val="21"/>
              </w:rPr>
            </w:pPr>
            <w:r>
              <w:rPr>
                <w:rFonts w:hint="eastAsia" w:ascii="宋体" w:hAnsi="宋体"/>
                <w:szCs w:val="21"/>
              </w:rPr>
              <w:t>万元</w:t>
            </w: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rPr>
                <w:rFonts w:ascii="宋体" w:hAnsi="宋体"/>
                <w:szCs w:val="21"/>
              </w:rPr>
            </w:pPr>
            <w:r>
              <w:rPr>
                <w:rFonts w:hint="eastAsia" w:ascii="宋体" w:hAnsi="宋体"/>
                <w:szCs w:val="21"/>
              </w:rPr>
              <w:t>十、现金流量净额</w:t>
            </w:r>
          </w:p>
        </w:tc>
        <w:tc>
          <w:tcPr>
            <w:tcW w:w="990" w:type="dxa"/>
            <w:vAlign w:val="center"/>
          </w:tcPr>
          <w:p>
            <w:pPr>
              <w:snapToGrid w:val="0"/>
              <w:jc w:val="center"/>
              <w:rPr>
                <w:rFonts w:ascii="宋体" w:hAnsi="宋体"/>
                <w:szCs w:val="21"/>
              </w:rPr>
            </w:pP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rPr>
                <w:rFonts w:ascii="宋体" w:hAnsi="宋体"/>
                <w:szCs w:val="21"/>
              </w:rPr>
            </w:pPr>
            <w:r>
              <w:rPr>
                <w:rFonts w:hint="eastAsia" w:ascii="宋体" w:hAnsi="宋体"/>
                <w:szCs w:val="21"/>
              </w:rPr>
              <w:t>十一、主要财务指标</w:t>
            </w:r>
          </w:p>
        </w:tc>
        <w:tc>
          <w:tcPr>
            <w:tcW w:w="990" w:type="dxa"/>
            <w:vAlign w:val="center"/>
          </w:tcPr>
          <w:p>
            <w:pPr>
              <w:snapToGrid w:val="0"/>
              <w:jc w:val="center"/>
              <w:rPr>
                <w:rFonts w:ascii="宋体" w:hAnsi="宋体"/>
                <w:szCs w:val="21"/>
              </w:rPr>
            </w:pPr>
            <w:r>
              <w:rPr>
                <w:rFonts w:hint="eastAsia" w:ascii="宋体" w:hAnsi="宋体"/>
                <w:szCs w:val="21"/>
              </w:rPr>
              <w:t>%</w:t>
            </w: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ind w:firstLine="525" w:firstLineChars="250"/>
              <w:rPr>
                <w:rFonts w:ascii="宋体" w:hAnsi="宋体"/>
                <w:szCs w:val="21"/>
              </w:rPr>
            </w:pPr>
            <w:r>
              <w:rPr>
                <w:rFonts w:hint="eastAsia" w:ascii="宋体" w:hAnsi="宋体"/>
                <w:szCs w:val="21"/>
              </w:rPr>
              <w:t>1．净资产收益率</w:t>
            </w:r>
          </w:p>
        </w:tc>
        <w:tc>
          <w:tcPr>
            <w:tcW w:w="990" w:type="dxa"/>
            <w:vAlign w:val="center"/>
          </w:tcPr>
          <w:p>
            <w:pPr>
              <w:snapToGrid w:val="0"/>
              <w:jc w:val="center"/>
              <w:rPr>
                <w:rFonts w:ascii="宋体" w:hAnsi="宋体"/>
                <w:szCs w:val="21"/>
              </w:rPr>
            </w:pPr>
            <w:r>
              <w:rPr>
                <w:rFonts w:hint="eastAsia" w:ascii="宋体" w:hAnsi="宋体"/>
                <w:szCs w:val="21"/>
              </w:rPr>
              <w:t>%</w:t>
            </w: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ind w:firstLine="525" w:firstLineChars="250"/>
              <w:rPr>
                <w:rFonts w:ascii="宋体" w:hAnsi="宋体"/>
                <w:szCs w:val="21"/>
              </w:rPr>
            </w:pPr>
            <w:r>
              <w:rPr>
                <w:rFonts w:hint="eastAsia" w:ascii="宋体" w:hAnsi="宋体"/>
                <w:szCs w:val="21"/>
              </w:rPr>
              <w:t>2．总资产报酬</w:t>
            </w:r>
          </w:p>
        </w:tc>
        <w:tc>
          <w:tcPr>
            <w:tcW w:w="990" w:type="dxa"/>
            <w:vAlign w:val="center"/>
          </w:tcPr>
          <w:p>
            <w:pPr>
              <w:snapToGrid w:val="0"/>
              <w:jc w:val="center"/>
              <w:rPr>
                <w:rFonts w:ascii="宋体" w:hAnsi="宋体"/>
                <w:szCs w:val="21"/>
              </w:rPr>
            </w:pPr>
            <w:r>
              <w:rPr>
                <w:rFonts w:hint="eastAsia" w:ascii="宋体" w:hAnsi="宋体"/>
                <w:szCs w:val="21"/>
              </w:rPr>
              <w:t>%</w:t>
            </w: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ind w:firstLine="525" w:firstLineChars="250"/>
              <w:rPr>
                <w:rFonts w:ascii="宋体" w:hAnsi="宋体"/>
                <w:szCs w:val="21"/>
              </w:rPr>
            </w:pPr>
            <w:r>
              <w:rPr>
                <w:rFonts w:hint="eastAsia" w:ascii="宋体" w:hAnsi="宋体"/>
                <w:szCs w:val="21"/>
              </w:rPr>
              <w:t>3．主营业务利润率</w:t>
            </w:r>
          </w:p>
        </w:tc>
        <w:tc>
          <w:tcPr>
            <w:tcW w:w="990" w:type="dxa"/>
            <w:vAlign w:val="center"/>
          </w:tcPr>
          <w:p>
            <w:pPr>
              <w:snapToGrid w:val="0"/>
              <w:jc w:val="center"/>
              <w:rPr>
                <w:rFonts w:ascii="宋体" w:hAnsi="宋体"/>
                <w:szCs w:val="21"/>
              </w:rPr>
            </w:pPr>
            <w:r>
              <w:rPr>
                <w:rFonts w:hint="eastAsia" w:ascii="宋体" w:hAnsi="宋体"/>
                <w:szCs w:val="21"/>
              </w:rPr>
              <w:t>%</w:t>
            </w: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ind w:firstLine="525" w:firstLineChars="250"/>
              <w:rPr>
                <w:rFonts w:ascii="宋体" w:hAnsi="宋体"/>
                <w:szCs w:val="21"/>
              </w:rPr>
            </w:pPr>
            <w:r>
              <w:rPr>
                <w:rFonts w:hint="eastAsia" w:ascii="宋体" w:hAnsi="宋体"/>
                <w:szCs w:val="21"/>
              </w:rPr>
              <w:t>4．资产负债率</w:t>
            </w:r>
          </w:p>
        </w:tc>
        <w:tc>
          <w:tcPr>
            <w:tcW w:w="990" w:type="dxa"/>
            <w:vAlign w:val="center"/>
          </w:tcPr>
          <w:p>
            <w:pPr>
              <w:snapToGrid w:val="0"/>
              <w:jc w:val="center"/>
              <w:rPr>
                <w:rFonts w:ascii="宋体" w:hAnsi="宋体"/>
                <w:szCs w:val="21"/>
              </w:rPr>
            </w:pPr>
            <w:r>
              <w:rPr>
                <w:rFonts w:hint="eastAsia" w:ascii="宋体" w:hAnsi="宋体"/>
                <w:szCs w:val="21"/>
              </w:rPr>
              <w:t>%</w:t>
            </w: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ind w:firstLine="525" w:firstLineChars="250"/>
              <w:rPr>
                <w:rFonts w:ascii="宋体" w:hAnsi="宋体"/>
                <w:szCs w:val="21"/>
              </w:rPr>
            </w:pPr>
            <w:r>
              <w:rPr>
                <w:rFonts w:hint="eastAsia" w:ascii="宋体" w:hAnsi="宋体"/>
                <w:szCs w:val="21"/>
              </w:rPr>
              <w:t>5、流动比率</w:t>
            </w:r>
          </w:p>
        </w:tc>
        <w:tc>
          <w:tcPr>
            <w:tcW w:w="990" w:type="dxa"/>
            <w:vAlign w:val="center"/>
          </w:tcPr>
          <w:p>
            <w:pPr>
              <w:snapToGrid w:val="0"/>
              <w:jc w:val="center"/>
              <w:rPr>
                <w:rFonts w:ascii="宋体" w:hAnsi="宋体"/>
                <w:szCs w:val="21"/>
              </w:rPr>
            </w:pPr>
            <w:r>
              <w:rPr>
                <w:rFonts w:hint="eastAsia" w:ascii="宋体" w:hAnsi="宋体"/>
                <w:szCs w:val="21"/>
              </w:rPr>
              <w:t>%</w:t>
            </w: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ind w:firstLine="525" w:firstLineChars="250"/>
              <w:rPr>
                <w:rFonts w:ascii="宋体" w:hAnsi="宋体"/>
                <w:szCs w:val="21"/>
              </w:rPr>
            </w:pPr>
            <w:r>
              <w:rPr>
                <w:rFonts w:hint="eastAsia" w:ascii="宋体" w:hAnsi="宋体"/>
                <w:szCs w:val="21"/>
              </w:rPr>
              <w:t>6、速动比率</w:t>
            </w:r>
          </w:p>
        </w:tc>
        <w:tc>
          <w:tcPr>
            <w:tcW w:w="990" w:type="dxa"/>
            <w:vAlign w:val="center"/>
          </w:tcPr>
          <w:p>
            <w:pPr>
              <w:snapToGrid w:val="0"/>
              <w:jc w:val="center"/>
              <w:rPr>
                <w:rFonts w:ascii="宋体" w:hAnsi="宋体"/>
                <w:szCs w:val="21"/>
              </w:rPr>
            </w:pPr>
            <w:r>
              <w:rPr>
                <w:rFonts w:hint="eastAsia" w:ascii="宋体" w:hAnsi="宋体"/>
                <w:szCs w:val="21"/>
              </w:rPr>
              <w:t>%</w:t>
            </w:r>
          </w:p>
        </w:tc>
        <w:tc>
          <w:tcPr>
            <w:tcW w:w="3770" w:type="dxa"/>
            <w:vAlign w:val="center"/>
          </w:tcPr>
          <w:p>
            <w:pPr>
              <w:snapToGrid w:val="0"/>
              <w:jc w:val="center"/>
              <w:rPr>
                <w:rFonts w:ascii="宋体" w:hAnsi="宋体"/>
                <w:szCs w:val="21"/>
              </w:rPr>
            </w:pPr>
          </w:p>
        </w:tc>
      </w:tr>
    </w:tbl>
    <w:p>
      <w:pPr>
        <w:spacing w:line="360" w:lineRule="auto"/>
        <w:rPr>
          <w:rFonts w:ascii="宋体" w:hAnsi="宋体"/>
          <w:szCs w:val="21"/>
        </w:rPr>
      </w:pPr>
      <w:r>
        <w:rPr>
          <w:rFonts w:hint="eastAsia" w:ascii="宋体" w:hAnsi="宋体"/>
          <w:szCs w:val="21"/>
        </w:rPr>
        <w:t>注：</w:t>
      </w:r>
    </w:p>
    <w:p>
      <w:pPr>
        <w:numPr>
          <w:ilvl w:val="0"/>
          <w:numId w:val="3"/>
        </w:numPr>
        <w:spacing w:line="360" w:lineRule="auto"/>
        <w:rPr>
          <w:rFonts w:ascii="宋体" w:hAnsi="宋体"/>
          <w:szCs w:val="21"/>
        </w:rPr>
      </w:pPr>
      <w:r>
        <w:rPr>
          <w:rFonts w:hint="eastAsia" w:ascii="宋体" w:hAnsi="宋体"/>
          <w:szCs w:val="21"/>
        </w:rPr>
        <w:t>本表后应附</w:t>
      </w:r>
      <w:r>
        <w:rPr>
          <w:rFonts w:hint="eastAsia" w:ascii="宋体" w:hAnsi="宋体" w:cs="宋体"/>
          <w:szCs w:val="21"/>
        </w:rPr>
        <w:t>2017年或</w:t>
      </w:r>
      <w:r>
        <w:rPr>
          <w:rFonts w:hint="eastAsia" w:ascii="宋体" w:hAnsi="宋体"/>
          <w:szCs w:val="21"/>
        </w:rPr>
        <w:t>2018年度经会计师事务所或审计机构审计的财务会计报表的复印件，包括资产负债表、现金流量表、利润表、财务情况说明的复印件。</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ind w:left="1050"/>
        <w:rPr>
          <w:rFonts w:ascii="宋体" w:hAnsi="宋体"/>
          <w:szCs w:val="21"/>
        </w:rPr>
      </w:pPr>
    </w:p>
    <w:p>
      <w:pPr>
        <w:spacing w:line="360" w:lineRule="auto"/>
        <w:jc w:val="center"/>
        <w:outlineLvl w:val="1"/>
        <w:rPr>
          <w:rFonts w:ascii="宋体" w:hAnsi="宋体"/>
          <w:b/>
          <w:sz w:val="32"/>
          <w:szCs w:val="32"/>
        </w:rPr>
      </w:pPr>
      <w:r>
        <w:rPr>
          <w:rFonts w:hint="eastAsia" w:ascii="宋体" w:hAnsi="宋体"/>
          <w:b/>
          <w:sz w:val="32"/>
          <w:szCs w:val="32"/>
        </w:rPr>
        <w:t>十一、投标人类似业绩情况表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58"/>
        <w:gridCol w:w="1807"/>
        <w:gridCol w:w="1655"/>
        <w:gridCol w:w="1655"/>
        <w:gridCol w:w="1492"/>
        <w:gridCol w:w="17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8" w:type="dxa"/>
            <w:vAlign w:val="center"/>
          </w:tcPr>
          <w:p>
            <w:pPr>
              <w:contextualSpacing/>
              <w:jc w:val="center"/>
              <w:rPr>
                <w:rFonts w:ascii="宋体" w:hAnsi="宋体" w:cs="Arial"/>
                <w:szCs w:val="21"/>
              </w:rPr>
            </w:pPr>
            <w:r>
              <w:rPr>
                <w:rFonts w:hint="eastAsia" w:ascii="宋体" w:hAnsi="宋体" w:cs="Arial"/>
                <w:szCs w:val="21"/>
              </w:rPr>
              <w:t>序号</w:t>
            </w:r>
          </w:p>
        </w:tc>
        <w:tc>
          <w:tcPr>
            <w:tcW w:w="1807" w:type="dxa"/>
            <w:tcBorders>
              <w:right w:val="single" w:color="auto" w:sz="4" w:space="0"/>
            </w:tcBorders>
            <w:vAlign w:val="center"/>
          </w:tcPr>
          <w:p>
            <w:pPr>
              <w:contextualSpacing/>
              <w:jc w:val="center"/>
              <w:rPr>
                <w:rFonts w:ascii="宋体" w:hAnsi="宋体" w:cs="Arial"/>
                <w:szCs w:val="21"/>
              </w:rPr>
            </w:pPr>
            <w:r>
              <w:rPr>
                <w:rFonts w:ascii="宋体" w:hAnsi="宋体" w:cs="Arial"/>
                <w:szCs w:val="21"/>
              </w:rPr>
              <w:t>项目名称</w:t>
            </w:r>
          </w:p>
        </w:tc>
        <w:tc>
          <w:tcPr>
            <w:tcW w:w="1655" w:type="dxa"/>
            <w:tcBorders>
              <w:left w:val="single" w:color="auto" w:sz="4" w:space="0"/>
              <w:right w:val="single" w:color="auto" w:sz="4" w:space="0"/>
            </w:tcBorders>
            <w:vAlign w:val="center"/>
          </w:tcPr>
          <w:p>
            <w:pPr>
              <w:contextualSpacing/>
              <w:jc w:val="center"/>
              <w:rPr>
                <w:rFonts w:ascii="宋体" w:hAnsi="宋体" w:cs="Arial"/>
                <w:szCs w:val="21"/>
              </w:rPr>
            </w:pPr>
            <w:r>
              <w:rPr>
                <w:rFonts w:hint="eastAsia" w:ascii="宋体" w:hAnsi="宋体" w:cs="Arial"/>
                <w:szCs w:val="21"/>
              </w:rPr>
              <w:t>日处理规模</w:t>
            </w:r>
          </w:p>
        </w:tc>
        <w:tc>
          <w:tcPr>
            <w:tcW w:w="1655" w:type="dxa"/>
            <w:tcBorders>
              <w:left w:val="single" w:color="auto" w:sz="4" w:space="0"/>
            </w:tcBorders>
            <w:vAlign w:val="center"/>
          </w:tcPr>
          <w:p>
            <w:pPr>
              <w:contextualSpacing/>
              <w:jc w:val="center"/>
              <w:rPr>
                <w:rFonts w:ascii="宋体" w:hAnsi="宋体" w:cs="Arial"/>
                <w:szCs w:val="21"/>
              </w:rPr>
            </w:pPr>
            <w:r>
              <w:rPr>
                <w:rFonts w:hint="eastAsia" w:ascii="宋体" w:hAnsi="宋体" w:cs="Arial"/>
                <w:szCs w:val="21"/>
              </w:rPr>
              <w:t>运营年限</w:t>
            </w:r>
          </w:p>
        </w:tc>
        <w:tc>
          <w:tcPr>
            <w:tcW w:w="1492" w:type="dxa"/>
            <w:vAlign w:val="center"/>
          </w:tcPr>
          <w:p>
            <w:pPr>
              <w:contextualSpacing/>
              <w:jc w:val="center"/>
              <w:rPr>
                <w:rFonts w:ascii="宋体" w:hAnsi="宋体" w:cs="Arial"/>
                <w:szCs w:val="21"/>
              </w:rPr>
            </w:pPr>
            <w:r>
              <w:rPr>
                <w:rFonts w:ascii="宋体" w:hAnsi="宋体" w:cs="Arial"/>
                <w:szCs w:val="21"/>
              </w:rPr>
              <w:t>合同金额</w:t>
            </w:r>
          </w:p>
        </w:tc>
        <w:tc>
          <w:tcPr>
            <w:tcW w:w="1767" w:type="dxa"/>
            <w:vAlign w:val="center"/>
          </w:tcPr>
          <w:p>
            <w:pPr>
              <w:contextualSpacing/>
              <w:jc w:val="center"/>
              <w:rPr>
                <w:rFonts w:ascii="宋体" w:hAnsi="宋体" w:cs="Arial"/>
                <w:szCs w:val="21"/>
              </w:rPr>
            </w:pPr>
            <w:r>
              <w:rPr>
                <w:rFonts w:hint="eastAsia" w:ascii="宋体" w:hAnsi="宋体" w:cs="Arial"/>
                <w:szCs w:val="21"/>
              </w:rPr>
              <w:t>合同签署时间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8" w:type="dxa"/>
            <w:vAlign w:val="center"/>
          </w:tcPr>
          <w:p>
            <w:pPr>
              <w:contextualSpacing/>
              <w:jc w:val="center"/>
              <w:rPr>
                <w:rFonts w:ascii="宋体" w:hAnsi="宋体" w:cs="Arial"/>
                <w:szCs w:val="21"/>
              </w:rPr>
            </w:pPr>
          </w:p>
        </w:tc>
        <w:tc>
          <w:tcPr>
            <w:tcW w:w="1807" w:type="dxa"/>
            <w:tcBorders>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tcBorders>
            <w:vAlign w:val="center"/>
          </w:tcPr>
          <w:p>
            <w:pPr>
              <w:contextualSpacing/>
              <w:jc w:val="center"/>
              <w:rPr>
                <w:rFonts w:ascii="宋体" w:hAnsi="宋体" w:cs="Arial"/>
                <w:szCs w:val="21"/>
              </w:rPr>
            </w:pPr>
          </w:p>
        </w:tc>
        <w:tc>
          <w:tcPr>
            <w:tcW w:w="1492" w:type="dxa"/>
            <w:vAlign w:val="center"/>
          </w:tcPr>
          <w:p>
            <w:pPr>
              <w:contextualSpacing/>
              <w:jc w:val="center"/>
              <w:rPr>
                <w:rFonts w:ascii="宋体" w:hAnsi="宋体" w:cs="Arial"/>
                <w:szCs w:val="21"/>
              </w:rPr>
            </w:pPr>
          </w:p>
        </w:tc>
        <w:tc>
          <w:tcPr>
            <w:tcW w:w="1767" w:type="dxa"/>
            <w:vAlign w:val="center"/>
          </w:tcPr>
          <w:p>
            <w:pPr>
              <w:contextualSpacing/>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8" w:type="dxa"/>
            <w:vAlign w:val="center"/>
          </w:tcPr>
          <w:p>
            <w:pPr>
              <w:contextualSpacing/>
              <w:jc w:val="center"/>
              <w:rPr>
                <w:rFonts w:ascii="宋体" w:hAnsi="宋体" w:cs="Arial"/>
                <w:szCs w:val="21"/>
              </w:rPr>
            </w:pPr>
          </w:p>
        </w:tc>
        <w:tc>
          <w:tcPr>
            <w:tcW w:w="1807" w:type="dxa"/>
            <w:tcBorders>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tcBorders>
            <w:vAlign w:val="center"/>
          </w:tcPr>
          <w:p>
            <w:pPr>
              <w:contextualSpacing/>
              <w:jc w:val="center"/>
              <w:rPr>
                <w:rFonts w:ascii="宋体" w:hAnsi="宋体" w:cs="Arial"/>
                <w:szCs w:val="21"/>
              </w:rPr>
            </w:pPr>
          </w:p>
        </w:tc>
        <w:tc>
          <w:tcPr>
            <w:tcW w:w="1492" w:type="dxa"/>
            <w:vAlign w:val="center"/>
          </w:tcPr>
          <w:p>
            <w:pPr>
              <w:contextualSpacing/>
              <w:jc w:val="center"/>
              <w:rPr>
                <w:rFonts w:ascii="宋体" w:hAnsi="宋体" w:cs="Arial"/>
                <w:szCs w:val="21"/>
              </w:rPr>
            </w:pPr>
          </w:p>
        </w:tc>
        <w:tc>
          <w:tcPr>
            <w:tcW w:w="1767" w:type="dxa"/>
            <w:vAlign w:val="center"/>
          </w:tcPr>
          <w:p>
            <w:pPr>
              <w:contextualSpacing/>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8" w:type="dxa"/>
            <w:vAlign w:val="center"/>
          </w:tcPr>
          <w:p>
            <w:pPr>
              <w:contextualSpacing/>
              <w:jc w:val="center"/>
              <w:rPr>
                <w:rFonts w:ascii="宋体" w:hAnsi="宋体" w:cs="Arial"/>
                <w:szCs w:val="21"/>
              </w:rPr>
            </w:pPr>
          </w:p>
        </w:tc>
        <w:tc>
          <w:tcPr>
            <w:tcW w:w="1807" w:type="dxa"/>
            <w:tcBorders>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tcBorders>
            <w:vAlign w:val="center"/>
          </w:tcPr>
          <w:p>
            <w:pPr>
              <w:contextualSpacing/>
              <w:jc w:val="center"/>
              <w:rPr>
                <w:rFonts w:ascii="宋体" w:hAnsi="宋体" w:cs="Arial"/>
                <w:szCs w:val="21"/>
              </w:rPr>
            </w:pPr>
          </w:p>
        </w:tc>
        <w:tc>
          <w:tcPr>
            <w:tcW w:w="1492" w:type="dxa"/>
            <w:vAlign w:val="center"/>
          </w:tcPr>
          <w:p>
            <w:pPr>
              <w:contextualSpacing/>
              <w:jc w:val="center"/>
              <w:rPr>
                <w:rFonts w:ascii="宋体" w:hAnsi="宋体" w:cs="Arial"/>
                <w:szCs w:val="21"/>
              </w:rPr>
            </w:pPr>
          </w:p>
        </w:tc>
        <w:tc>
          <w:tcPr>
            <w:tcW w:w="1767" w:type="dxa"/>
            <w:vAlign w:val="center"/>
          </w:tcPr>
          <w:p>
            <w:pPr>
              <w:contextualSpacing/>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8" w:type="dxa"/>
            <w:tcBorders>
              <w:right w:val="single" w:color="auto" w:sz="4" w:space="0"/>
            </w:tcBorders>
            <w:vAlign w:val="center"/>
          </w:tcPr>
          <w:p>
            <w:pPr>
              <w:contextualSpacing/>
              <w:jc w:val="center"/>
              <w:rPr>
                <w:rFonts w:ascii="宋体" w:hAnsi="宋体" w:cs="Arial"/>
                <w:szCs w:val="21"/>
              </w:rPr>
            </w:pPr>
          </w:p>
        </w:tc>
        <w:tc>
          <w:tcPr>
            <w:tcW w:w="1807" w:type="dxa"/>
            <w:tcBorders>
              <w:left w:val="single" w:color="auto" w:sz="4" w:space="0"/>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tcBorders>
            <w:vAlign w:val="center"/>
          </w:tcPr>
          <w:p>
            <w:pPr>
              <w:contextualSpacing/>
              <w:jc w:val="center"/>
              <w:rPr>
                <w:rFonts w:ascii="宋体" w:hAnsi="宋体" w:cs="Arial"/>
                <w:szCs w:val="21"/>
              </w:rPr>
            </w:pPr>
          </w:p>
        </w:tc>
        <w:tc>
          <w:tcPr>
            <w:tcW w:w="1492" w:type="dxa"/>
            <w:vAlign w:val="center"/>
          </w:tcPr>
          <w:p>
            <w:pPr>
              <w:contextualSpacing/>
              <w:jc w:val="center"/>
              <w:rPr>
                <w:rFonts w:ascii="宋体" w:hAnsi="宋体" w:cs="Arial"/>
                <w:szCs w:val="21"/>
              </w:rPr>
            </w:pPr>
          </w:p>
        </w:tc>
        <w:tc>
          <w:tcPr>
            <w:tcW w:w="1767" w:type="dxa"/>
            <w:vAlign w:val="center"/>
          </w:tcPr>
          <w:p>
            <w:pPr>
              <w:contextualSpacing/>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8" w:type="dxa"/>
            <w:tcBorders>
              <w:right w:val="single" w:color="auto" w:sz="4" w:space="0"/>
            </w:tcBorders>
            <w:vAlign w:val="center"/>
          </w:tcPr>
          <w:p>
            <w:pPr>
              <w:contextualSpacing/>
              <w:jc w:val="center"/>
              <w:rPr>
                <w:rFonts w:ascii="宋体" w:hAnsi="宋体" w:cs="Arial"/>
                <w:szCs w:val="21"/>
              </w:rPr>
            </w:pPr>
          </w:p>
        </w:tc>
        <w:tc>
          <w:tcPr>
            <w:tcW w:w="1807" w:type="dxa"/>
            <w:tcBorders>
              <w:left w:val="single" w:color="auto" w:sz="4" w:space="0"/>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tcBorders>
            <w:vAlign w:val="center"/>
          </w:tcPr>
          <w:p>
            <w:pPr>
              <w:contextualSpacing/>
              <w:jc w:val="center"/>
              <w:rPr>
                <w:rFonts w:ascii="宋体" w:hAnsi="宋体" w:cs="Arial"/>
                <w:szCs w:val="21"/>
              </w:rPr>
            </w:pPr>
          </w:p>
        </w:tc>
        <w:tc>
          <w:tcPr>
            <w:tcW w:w="1492" w:type="dxa"/>
            <w:vAlign w:val="center"/>
          </w:tcPr>
          <w:p>
            <w:pPr>
              <w:contextualSpacing/>
              <w:jc w:val="center"/>
              <w:rPr>
                <w:rFonts w:ascii="宋体" w:hAnsi="宋体" w:cs="Arial"/>
                <w:szCs w:val="21"/>
              </w:rPr>
            </w:pPr>
          </w:p>
        </w:tc>
        <w:tc>
          <w:tcPr>
            <w:tcW w:w="1767" w:type="dxa"/>
            <w:vAlign w:val="center"/>
          </w:tcPr>
          <w:p>
            <w:pPr>
              <w:contextualSpacing/>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8" w:type="dxa"/>
            <w:tcBorders>
              <w:right w:val="single" w:color="auto" w:sz="4" w:space="0"/>
            </w:tcBorders>
            <w:vAlign w:val="center"/>
          </w:tcPr>
          <w:p>
            <w:pPr>
              <w:contextualSpacing/>
              <w:jc w:val="center"/>
              <w:rPr>
                <w:rFonts w:ascii="宋体" w:hAnsi="宋体" w:cs="Arial"/>
                <w:szCs w:val="21"/>
              </w:rPr>
            </w:pPr>
          </w:p>
        </w:tc>
        <w:tc>
          <w:tcPr>
            <w:tcW w:w="1807" w:type="dxa"/>
            <w:tcBorders>
              <w:left w:val="single" w:color="auto" w:sz="4" w:space="0"/>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tcBorders>
            <w:vAlign w:val="center"/>
          </w:tcPr>
          <w:p>
            <w:pPr>
              <w:contextualSpacing/>
              <w:jc w:val="center"/>
              <w:rPr>
                <w:rFonts w:ascii="宋体" w:hAnsi="宋体" w:cs="Arial"/>
                <w:szCs w:val="21"/>
              </w:rPr>
            </w:pPr>
          </w:p>
        </w:tc>
        <w:tc>
          <w:tcPr>
            <w:tcW w:w="1492" w:type="dxa"/>
            <w:vAlign w:val="center"/>
          </w:tcPr>
          <w:p>
            <w:pPr>
              <w:contextualSpacing/>
              <w:jc w:val="center"/>
              <w:rPr>
                <w:rFonts w:ascii="宋体" w:hAnsi="宋体" w:cs="Arial"/>
                <w:szCs w:val="21"/>
              </w:rPr>
            </w:pPr>
          </w:p>
        </w:tc>
        <w:tc>
          <w:tcPr>
            <w:tcW w:w="1767" w:type="dxa"/>
            <w:vAlign w:val="center"/>
          </w:tcPr>
          <w:p>
            <w:pPr>
              <w:contextualSpacing/>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8" w:type="dxa"/>
            <w:tcBorders>
              <w:right w:val="single" w:color="auto" w:sz="4" w:space="0"/>
            </w:tcBorders>
            <w:vAlign w:val="center"/>
          </w:tcPr>
          <w:p>
            <w:pPr>
              <w:contextualSpacing/>
              <w:jc w:val="center"/>
              <w:rPr>
                <w:rFonts w:ascii="宋体" w:hAnsi="宋体" w:cs="Arial"/>
                <w:szCs w:val="21"/>
              </w:rPr>
            </w:pPr>
          </w:p>
        </w:tc>
        <w:tc>
          <w:tcPr>
            <w:tcW w:w="1807" w:type="dxa"/>
            <w:tcBorders>
              <w:left w:val="single" w:color="auto" w:sz="4" w:space="0"/>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tcBorders>
            <w:vAlign w:val="center"/>
          </w:tcPr>
          <w:p>
            <w:pPr>
              <w:contextualSpacing/>
              <w:jc w:val="center"/>
              <w:rPr>
                <w:rFonts w:ascii="宋体" w:hAnsi="宋体" w:cs="Arial"/>
                <w:szCs w:val="21"/>
              </w:rPr>
            </w:pPr>
          </w:p>
        </w:tc>
        <w:tc>
          <w:tcPr>
            <w:tcW w:w="1492" w:type="dxa"/>
            <w:vAlign w:val="center"/>
          </w:tcPr>
          <w:p>
            <w:pPr>
              <w:contextualSpacing/>
              <w:jc w:val="center"/>
              <w:rPr>
                <w:rFonts w:ascii="宋体" w:hAnsi="宋体" w:cs="Arial"/>
                <w:szCs w:val="21"/>
              </w:rPr>
            </w:pPr>
          </w:p>
        </w:tc>
        <w:tc>
          <w:tcPr>
            <w:tcW w:w="1767" w:type="dxa"/>
            <w:vAlign w:val="center"/>
          </w:tcPr>
          <w:p>
            <w:pPr>
              <w:contextualSpacing/>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8" w:type="dxa"/>
            <w:tcBorders>
              <w:right w:val="single" w:color="auto" w:sz="4" w:space="0"/>
            </w:tcBorders>
            <w:vAlign w:val="center"/>
          </w:tcPr>
          <w:p>
            <w:pPr>
              <w:contextualSpacing/>
              <w:jc w:val="center"/>
              <w:rPr>
                <w:rFonts w:ascii="宋体" w:hAnsi="宋体" w:cs="Arial"/>
                <w:szCs w:val="21"/>
              </w:rPr>
            </w:pPr>
          </w:p>
        </w:tc>
        <w:tc>
          <w:tcPr>
            <w:tcW w:w="1807" w:type="dxa"/>
            <w:tcBorders>
              <w:left w:val="single" w:color="auto" w:sz="4" w:space="0"/>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tcBorders>
            <w:vAlign w:val="center"/>
          </w:tcPr>
          <w:p>
            <w:pPr>
              <w:contextualSpacing/>
              <w:jc w:val="center"/>
              <w:rPr>
                <w:rFonts w:ascii="宋体" w:hAnsi="宋体" w:cs="Arial"/>
                <w:szCs w:val="21"/>
              </w:rPr>
            </w:pPr>
          </w:p>
        </w:tc>
        <w:tc>
          <w:tcPr>
            <w:tcW w:w="1492" w:type="dxa"/>
            <w:vAlign w:val="center"/>
          </w:tcPr>
          <w:p>
            <w:pPr>
              <w:contextualSpacing/>
              <w:jc w:val="center"/>
              <w:rPr>
                <w:rFonts w:ascii="宋体" w:hAnsi="宋体" w:cs="Arial"/>
                <w:szCs w:val="21"/>
              </w:rPr>
            </w:pPr>
          </w:p>
        </w:tc>
        <w:tc>
          <w:tcPr>
            <w:tcW w:w="1767" w:type="dxa"/>
            <w:vAlign w:val="center"/>
          </w:tcPr>
          <w:p>
            <w:pPr>
              <w:contextualSpacing/>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8" w:type="dxa"/>
            <w:tcBorders>
              <w:right w:val="single" w:color="auto" w:sz="4" w:space="0"/>
            </w:tcBorders>
            <w:vAlign w:val="center"/>
          </w:tcPr>
          <w:p>
            <w:pPr>
              <w:contextualSpacing/>
              <w:jc w:val="center"/>
              <w:rPr>
                <w:rFonts w:ascii="宋体" w:hAnsi="宋体" w:cs="Arial"/>
                <w:szCs w:val="21"/>
              </w:rPr>
            </w:pPr>
          </w:p>
        </w:tc>
        <w:tc>
          <w:tcPr>
            <w:tcW w:w="1807" w:type="dxa"/>
            <w:tcBorders>
              <w:left w:val="single" w:color="auto" w:sz="4" w:space="0"/>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tcBorders>
            <w:vAlign w:val="center"/>
          </w:tcPr>
          <w:p>
            <w:pPr>
              <w:contextualSpacing/>
              <w:jc w:val="center"/>
              <w:rPr>
                <w:rFonts w:ascii="宋体" w:hAnsi="宋体" w:cs="Arial"/>
                <w:szCs w:val="21"/>
              </w:rPr>
            </w:pPr>
          </w:p>
        </w:tc>
        <w:tc>
          <w:tcPr>
            <w:tcW w:w="1492" w:type="dxa"/>
            <w:vAlign w:val="center"/>
          </w:tcPr>
          <w:p>
            <w:pPr>
              <w:contextualSpacing/>
              <w:jc w:val="center"/>
              <w:rPr>
                <w:rFonts w:ascii="宋体" w:hAnsi="宋体" w:cs="Arial"/>
                <w:szCs w:val="21"/>
              </w:rPr>
            </w:pPr>
          </w:p>
        </w:tc>
        <w:tc>
          <w:tcPr>
            <w:tcW w:w="1767" w:type="dxa"/>
            <w:vAlign w:val="center"/>
          </w:tcPr>
          <w:p>
            <w:pPr>
              <w:contextualSpacing/>
              <w:jc w:val="center"/>
              <w:rPr>
                <w:rFonts w:ascii="宋体" w:hAnsi="宋体" w:cs="Arial"/>
                <w:szCs w:val="21"/>
              </w:rPr>
            </w:pPr>
          </w:p>
        </w:tc>
      </w:tr>
    </w:tbl>
    <w:p>
      <w:pPr>
        <w:tabs>
          <w:tab w:val="left" w:pos="555"/>
          <w:tab w:val="left" w:pos="2214"/>
          <w:tab w:val="left" w:pos="3774"/>
          <w:tab w:val="left" w:pos="4854"/>
          <w:tab w:val="left" w:pos="5934"/>
          <w:tab w:val="left" w:pos="7014"/>
          <w:tab w:val="left" w:pos="8214"/>
          <w:tab w:val="left" w:pos="10134"/>
          <w:tab w:val="left" w:pos="11124"/>
        </w:tabs>
        <w:spacing w:line="300" w:lineRule="auto"/>
        <w:jc w:val="left"/>
        <w:rPr>
          <w:rFonts w:ascii="宋体" w:hAnsi="宋体" w:cs="Arial"/>
          <w:szCs w:val="24"/>
        </w:rPr>
      </w:pPr>
      <w:r>
        <w:rPr>
          <w:rFonts w:hint="eastAsia" w:ascii="宋体" w:hAnsi="宋体" w:cs="Arial"/>
          <w:szCs w:val="24"/>
        </w:rPr>
        <w:t>注： 1.投标人以上业绩需提供有关业绩合同复印件等书面证明材料，并加盖公章。</w:t>
      </w:r>
    </w:p>
    <w:p>
      <w:pPr>
        <w:spacing w:line="360" w:lineRule="auto"/>
        <w:ind w:firstLine="525" w:firstLineChars="250"/>
        <w:outlineLvl w:val="1"/>
        <w:rPr>
          <w:rFonts w:ascii="宋体" w:hAnsi="宋体"/>
          <w:sz w:val="24"/>
          <w:szCs w:val="24"/>
        </w:rPr>
      </w:pPr>
      <w:r>
        <w:rPr>
          <w:rFonts w:hint="eastAsia" w:ascii="宋体" w:hAnsi="宋体"/>
          <w:szCs w:val="24"/>
        </w:rPr>
        <w:t>2.投标人必须据实填写，不得虚假响应，否则将取消其投标或中标资格，并按有关规定进行处罚。</w:t>
      </w:r>
    </w:p>
    <w:p>
      <w:pPr>
        <w:spacing w:line="360" w:lineRule="auto"/>
        <w:jc w:val="center"/>
        <w:outlineLvl w:val="1"/>
        <w:rPr>
          <w:rFonts w:ascii="宋体" w:hAnsi="宋体"/>
          <w:b/>
          <w:sz w:val="32"/>
          <w:szCs w:val="32"/>
        </w:rPr>
      </w:pPr>
    </w:p>
    <w:p>
      <w:pPr>
        <w:spacing w:line="360" w:lineRule="auto"/>
        <w:outlineLvl w:val="1"/>
        <w:rPr>
          <w:rFonts w:ascii="宋体" w:hAnsi="宋体"/>
          <w:b/>
          <w:sz w:val="32"/>
          <w:szCs w:val="32"/>
        </w:rPr>
      </w:pPr>
    </w:p>
    <w:p>
      <w:pPr>
        <w:spacing w:line="360" w:lineRule="auto"/>
        <w:jc w:val="center"/>
        <w:outlineLvl w:val="1"/>
        <w:rPr>
          <w:rFonts w:ascii="宋体" w:hAnsi="宋体"/>
          <w:b/>
          <w:sz w:val="32"/>
          <w:szCs w:val="32"/>
        </w:rPr>
      </w:pPr>
      <w:r>
        <w:rPr>
          <w:rFonts w:hint="eastAsia" w:ascii="宋体" w:hAnsi="宋体"/>
          <w:b/>
          <w:sz w:val="32"/>
          <w:szCs w:val="32"/>
        </w:rPr>
        <w:t>十二、其他材料</w:t>
      </w:r>
    </w:p>
    <w:p>
      <w:pPr>
        <w:tabs>
          <w:tab w:val="left" w:pos="555"/>
          <w:tab w:val="left" w:pos="2214"/>
          <w:tab w:val="left" w:pos="3774"/>
          <w:tab w:val="left" w:pos="4854"/>
          <w:tab w:val="left" w:pos="5934"/>
          <w:tab w:val="left" w:pos="7014"/>
          <w:tab w:val="left" w:pos="8214"/>
          <w:tab w:val="left" w:pos="10134"/>
          <w:tab w:val="left" w:pos="11124"/>
        </w:tabs>
        <w:spacing w:line="360" w:lineRule="auto"/>
        <w:jc w:val="left"/>
        <w:rPr>
          <w:rFonts w:ascii="宋体" w:hAnsi="宋体" w:cs="Arial"/>
          <w:szCs w:val="24"/>
        </w:rPr>
      </w:pPr>
      <w:r>
        <w:rPr>
          <w:rFonts w:hint="eastAsia" w:ascii="宋体" w:hAnsi="宋体" w:cs="Arial"/>
          <w:szCs w:val="24"/>
        </w:rPr>
        <w:t>按招标文件及评标办法要求，投标人应提供的其他材料。</w:t>
      </w:r>
    </w:p>
    <w:p>
      <w:pPr>
        <w:pStyle w:val="121"/>
        <w:snapToGrid w:val="0"/>
        <w:spacing w:line="20" w:lineRule="atLeast"/>
        <w:contextualSpacing/>
        <w:rPr>
          <w:color w:val="FFFFFF"/>
          <w:sz w:val="8"/>
          <w:szCs w:val="8"/>
        </w:rPr>
      </w:pPr>
    </w:p>
    <w:p>
      <w:pPr>
        <w:pStyle w:val="124"/>
        <w:snapToGrid w:val="0"/>
        <w:spacing w:line="20" w:lineRule="atLeast"/>
        <w:contextualSpacing/>
        <w:rPr>
          <w:color w:val="FFFFFF"/>
          <w:sz w:val="8"/>
          <w:szCs w:val="8"/>
        </w:rPr>
      </w:pPr>
      <w:bookmarkStart w:id="316" w:name="_Toc407389622"/>
      <w:r>
        <w:rPr>
          <w:rFonts w:hint="eastAsia"/>
          <w:color w:val="FFFFFF"/>
          <w:sz w:val="8"/>
          <w:szCs w:val="8"/>
        </w:rPr>
        <w:t xml:space="preserve">              </w:t>
      </w:r>
      <w:bookmarkStart w:id="317" w:name="_Toc454351464"/>
      <w:bookmarkStart w:id="318" w:name="_Toc454359625"/>
      <w:bookmarkStart w:id="319" w:name="_Toc454351434"/>
      <w:r>
        <w:rPr>
          <w:rFonts w:hint="eastAsia"/>
          <w:color w:val="FFFFFF"/>
          <w:sz w:val="8"/>
          <w:szCs w:val="8"/>
        </w:rPr>
        <w:t>（一）、触电事故现场处置方案</w:t>
      </w:r>
      <w:bookmarkEnd w:id="316"/>
      <w:bookmarkEnd w:id="317"/>
      <w:bookmarkEnd w:id="318"/>
      <w:bookmarkEnd w:id="319"/>
    </w:p>
    <w:p>
      <w:pPr>
        <w:pStyle w:val="126"/>
        <w:snapToGrid w:val="0"/>
        <w:spacing w:line="20" w:lineRule="atLeast"/>
        <w:contextualSpacing/>
        <w:rPr>
          <w:color w:val="FFFFFF"/>
          <w:sz w:val="8"/>
          <w:szCs w:val="8"/>
        </w:rPr>
      </w:pPr>
      <w:bookmarkStart w:id="320" w:name="_Toc335055387"/>
      <w:bookmarkStart w:id="321" w:name="_Toc454351435"/>
      <w:bookmarkStart w:id="322" w:name="_Toc454351465"/>
      <w:bookmarkStart w:id="323" w:name="_Toc407389623"/>
      <w:r>
        <w:rPr>
          <w:rFonts w:hint="eastAsia"/>
          <w:color w:val="FFFFFF"/>
          <w:sz w:val="8"/>
          <w:szCs w:val="8"/>
        </w:rPr>
        <w:t xml:space="preserve">                      </w:t>
      </w:r>
      <w:bookmarkStart w:id="324" w:name="_Toc454359626"/>
      <w:r>
        <w:rPr>
          <w:rFonts w:hint="eastAsia" w:ascii="宋体" w:hAnsi="宋体"/>
          <w:color w:val="FFFFFF"/>
          <w:sz w:val="8"/>
          <w:szCs w:val="8"/>
        </w:rPr>
        <w:t>第一节 事故特</w:t>
      </w:r>
      <w:bookmarkEnd w:id="320"/>
      <w:bookmarkEnd w:id="321"/>
      <w:bookmarkEnd w:id="322"/>
      <w:bookmarkEnd w:id="323"/>
      <w:bookmarkEnd w:id="324"/>
    </w:p>
    <w:sectPr>
      <w:pgSz w:w="11906" w:h="16838"/>
      <w:pgMar w:top="1440" w:right="1440" w:bottom="1440" w:left="1440" w:header="851" w:footer="85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singleLevel"/>
    <w:tmpl w:val="0000000F"/>
    <w:lvl w:ilvl="0" w:tentative="0">
      <w:start w:val="1"/>
      <w:numFmt w:val="chineseCounting"/>
      <w:suff w:val="nothing"/>
      <w:lvlText w:val="%1、"/>
      <w:lvlJc w:val="left"/>
    </w:lvl>
  </w:abstractNum>
  <w:abstractNum w:abstractNumId="1">
    <w:nsid w:val="10071FE7"/>
    <w:multiLevelType w:val="multilevel"/>
    <w:tmpl w:val="10071FE7"/>
    <w:lvl w:ilvl="0" w:tentative="0">
      <w:start w:val="4"/>
      <w:numFmt w:val="japaneseCounting"/>
      <w:lvlText w:val="%1、"/>
      <w:lvlJc w:val="left"/>
      <w:pPr>
        <w:ind w:left="1004"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0CD378C"/>
    <w:multiLevelType w:val="multilevel"/>
    <w:tmpl w:val="40CD378C"/>
    <w:lvl w:ilvl="0" w:tentative="0">
      <w:start w:val="1"/>
      <w:numFmt w:val="decimal"/>
      <w:lvlText w:val="%1、"/>
      <w:lvlJc w:val="left"/>
      <w:pPr>
        <w:ind w:left="1050" w:hanging="63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MzU0YWFhOGIzMGNiNjE4YjJjZjgyZGFjNGRlNDMifQ=="/>
  </w:docVars>
  <w:rsids>
    <w:rsidRoot w:val="00172A27"/>
    <w:rsid w:val="000073C0"/>
    <w:rsid w:val="000255BA"/>
    <w:rsid w:val="00025F6E"/>
    <w:rsid w:val="00034C5E"/>
    <w:rsid w:val="00035F5F"/>
    <w:rsid w:val="00046DA2"/>
    <w:rsid w:val="00057E2A"/>
    <w:rsid w:val="000657FA"/>
    <w:rsid w:val="000714E0"/>
    <w:rsid w:val="0007663B"/>
    <w:rsid w:val="00090C8A"/>
    <w:rsid w:val="0009216B"/>
    <w:rsid w:val="0009444D"/>
    <w:rsid w:val="00096AD0"/>
    <w:rsid w:val="000A28F0"/>
    <w:rsid w:val="000C0B1C"/>
    <w:rsid w:val="000C2318"/>
    <w:rsid w:val="000D6588"/>
    <w:rsid w:val="000E1446"/>
    <w:rsid w:val="000E7A79"/>
    <w:rsid w:val="000F7F0B"/>
    <w:rsid w:val="00100A91"/>
    <w:rsid w:val="00102238"/>
    <w:rsid w:val="00103A7B"/>
    <w:rsid w:val="00103A8D"/>
    <w:rsid w:val="00106942"/>
    <w:rsid w:val="0011045A"/>
    <w:rsid w:val="0012197C"/>
    <w:rsid w:val="00123640"/>
    <w:rsid w:val="00124899"/>
    <w:rsid w:val="001248B2"/>
    <w:rsid w:val="00133856"/>
    <w:rsid w:val="00156C71"/>
    <w:rsid w:val="00160A33"/>
    <w:rsid w:val="00166D57"/>
    <w:rsid w:val="00172A27"/>
    <w:rsid w:val="00174BD2"/>
    <w:rsid w:val="00181204"/>
    <w:rsid w:val="001861E0"/>
    <w:rsid w:val="00191D45"/>
    <w:rsid w:val="00193075"/>
    <w:rsid w:val="001A62A1"/>
    <w:rsid w:val="001A6A01"/>
    <w:rsid w:val="001C5B15"/>
    <w:rsid w:val="001E1FF8"/>
    <w:rsid w:val="001F0B26"/>
    <w:rsid w:val="001F33EF"/>
    <w:rsid w:val="002016C6"/>
    <w:rsid w:val="00205074"/>
    <w:rsid w:val="00234132"/>
    <w:rsid w:val="00271746"/>
    <w:rsid w:val="00275B2E"/>
    <w:rsid w:val="0028739F"/>
    <w:rsid w:val="00290F91"/>
    <w:rsid w:val="00291E02"/>
    <w:rsid w:val="00295D03"/>
    <w:rsid w:val="002A6C3F"/>
    <w:rsid w:val="002B1A34"/>
    <w:rsid w:val="002C1154"/>
    <w:rsid w:val="002C1CEB"/>
    <w:rsid w:val="002C3A42"/>
    <w:rsid w:val="002D418B"/>
    <w:rsid w:val="002E7134"/>
    <w:rsid w:val="003029B7"/>
    <w:rsid w:val="00327D28"/>
    <w:rsid w:val="0033544F"/>
    <w:rsid w:val="003438B9"/>
    <w:rsid w:val="00352F2C"/>
    <w:rsid w:val="00353E5A"/>
    <w:rsid w:val="00355967"/>
    <w:rsid w:val="00356F6A"/>
    <w:rsid w:val="00362799"/>
    <w:rsid w:val="00363CAA"/>
    <w:rsid w:val="00372047"/>
    <w:rsid w:val="0038319C"/>
    <w:rsid w:val="00383225"/>
    <w:rsid w:val="00384C4E"/>
    <w:rsid w:val="003A603F"/>
    <w:rsid w:val="003B0D09"/>
    <w:rsid w:val="003B7713"/>
    <w:rsid w:val="003C04A3"/>
    <w:rsid w:val="003C30AD"/>
    <w:rsid w:val="003E1C06"/>
    <w:rsid w:val="003E211F"/>
    <w:rsid w:val="003F03FB"/>
    <w:rsid w:val="003F1E65"/>
    <w:rsid w:val="00402694"/>
    <w:rsid w:val="004032C2"/>
    <w:rsid w:val="00406DBC"/>
    <w:rsid w:val="00410513"/>
    <w:rsid w:val="004107BD"/>
    <w:rsid w:val="0041203D"/>
    <w:rsid w:val="00420014"/>
    <w:rsid w:val="00420060"/>
    <w:rsid w:val="00436217"/>
    <w:rsid w:val="00443C5D"/>
    <w:rsid w:val="00444ADE"/>
    <w:rsid w:val="004461F2"/>
    <w:rsid w:val="00465553"/>
    <w:rsid w:val="0047524F"/>
    <w:rsid w:val="00494554"/>
    <w:rsid w:val="00496E8E"/>
    <w:rsid w:val="00497871"/>
    <w:rsid w:val="004A1246"/>
    <w:rsid w:val="004A1BBA"/>
    <w:rsid w:val="004A4A55"/>
    <w:rsid w:val="004A73F3"/>
    <w:rsid w:val="004B285B"/>
    <w:rsid w:val="004C36BC"/>
    <w:rsid w:val="004C4B2E"/>
    <w:rsid w:val="004C6D43"/>
    <w:rsid w:val="004C709F"/>
    <w:rsid w:val="004D2720"/>
    <w:rsid w:val="004D360D"/>
    <w:rsid w:val="004F4F30"/>
    <w:rsid w:val="004F631F"/>
    <w:rsid w:val="004F6E12"/>
    <w:rsid w:val="00500C6B"/>
    <w:rsid w:val="0050226F"/>
    <w:rsid w:val="00503825"/>
    <w:rsid w:val="00506300"/>
    <w:rsid w:val="00511A49"/>
    <w:rsid w:val="005219BB"/>
    <w:rsid w:val="00521F7B"/>
    <w:rsid w:val="00522C6F"/>
    <w:rsid w:val="005408A3"/>
    <w:rsid w:val="005440B3"/>
    <w:rsid w:val="00547C76"/>
    <w:rsid w:val="00550A0C"/>
    <w:rsid w:val="00550DC3"/>
    <w:rsid w:val="00554185"/>
    <w:rsid w:val="0055731D"/>
    <w:rsid w:val="00564B7C"/>
    <w:rsid w:val="00581559"/>
    <w:rsid w:val="00582CE4"/>
    <w:rsid w:val="005A4AB7"/>
    <w:rsid w:val="005A7016"/>
    <w:rsid w:val="005A7E7B"/>
    <w:rsid w:val="005B6556"/>
    <w:rsid w:val="005B65F2"/>
    <w:rsid w:val="005C116B"/>
    <w:rsid w:val="005C58CA"/>
    <w:rsid w:val="005C6033"/>
    <w:rsid w:val="005D3E64"/>
    <w:rsid w:val="005D6EA2"/>
    <w:rsid w:val="005D73E4"/>
    <w:rsid w:val="005E0AA6"/>
    <w:rsid w:val="005E288E"/>
    <w:rsid w:val="006028AD"/>
    <w:rsid w:val="0060470E"/>
    <w:rsid w:val="006163BD"/>
    <w:rsid w:val="006322D0"/>
    <w:rsid w:val="00635CF1"/>
    <w:rsid w:val="0065282D"/>
    <w:rsid w:val="006540DE"/>
    <w:rsid w:val="00654642"/>
    <w:rsid w:val="0066224B"/>
    <w:rsid w:val="00683650"/>
    <w:rsid w:val="006923ED"/>
    <w:rsid w:val="00693ECD"/>
    <w:rsid w:val="006A052B"/>
    <w:rsid w:val="006A2C82"/>
    <w:rsid w:val="006A66E0"/>
    <w:rsid w:val="006B2E15"/>
    <w:rsid w:val="006B5BCB"/>
    <w:rsid w:val="006C1E83"/>
    <w:rsid w:val="006E7534"/>
    <w:rsid w:val="006E7656"/>
    <w:rsid w:val="006E7BFE"/>
    <w:rsid w:val="006F088A"/>
    <w:rsid w:val="00710194"/>
    <w:rsid w:val="007109D5"/>
    <w:rsid w:val="007273B7"/>
    <w:rsid w:val="0072797F"/>
    <w:rsid w:val="00752C1A"/>
    <w:rsid w:val="00753167"/>
    <w:rsid w:val="00770D50"/>
    <w:rsid w:val="007759BA"/>
    <w:rsid w:val="00796CC1"/>
    <w:rsid w:val="007A19E1"/>
    <w:rsid w:val="007C04BD"/>
    <w:rsid w:val="007C66F5"/>
    <w:rsid w:val="007D68AC"/>
    <w:rsid w:val="00802CFB"/>
    <w:rsid w:val="00802E32"/>
    <w:rsid w:val="00804F4B"/>
    <w:rsid w:val="008055FD"/>
    <w:rsid w:val="00807F1F"/>
    <w:rsid w:val="0081065A"/>
    <w:rsid w:val="00810956"/>
    <w:rsid w:val="00816222"/>
    <w:rsid w:val="00823509"/>
    <w:rsid w:val="00835347"/>
    <w:rsid w:val="00841368"/>
    <w:rsid w:val="00842AD7"/>
    <w:rsid w:val="008508B3"/>
    <w:rsid w:val="0085159B"/>
    <w:rsid w:val="008554BA"/>
    <w:rsid w:val="00863330"/>
    <w:rsid w:val="0087574F"/>
    <w:rsid w:val="008759D6"/>
    <w:rsid w:val="008777BE"/>
    <w:rsid w:val="00884068"/>
    <w:rsid w:val="008936D6"/>
    <w:rsid w:val="0089681C"/>
    <w:rsid w:val="00897730"/>
    <w:rsid w:val="008C10BE"/>
    <w:rsid w:val="008D4F22"/>
    <w:rsid w:val="008E0715"/>
    <w:rsid w:val="008F18DA"/>
    <w:rsid w:val="008F792D"/>
    <w:rsid w:val="00901F03"/>
    <w:rsid w:val="00910A6C"/>
    <w:rsid w:val="009151A2"/>
    <w:rsid w:val="0094106C"/>
    <w:rsid w:val="00972FC6"/>
    <w:rsid w:val="009844F6"/>
    <w:rsid w:val="0098451C"/>
    <w:rsid w:val="0098484A"/>
    <w:rsid w:val="00991FE8"/>
    <w:rsid w:val="00992867"/>
    <w:rsid w:val="00993CC9"/>
    <w:rsid w:val="00994949"/>
    <w:rsid w:val="009B5E4F"/>
    <w:rsid w:val="009B636B"/>
    <w:rsid w:val="009B6655"/>
    <w:rsid w:val="009C3AC6"/>
    <w:rsid w:val="009C4212"/>
    <w:rsid w:val="009C4A89"/>
    <w:rsid w:val="009C5983"/>
    <w:rsid w:val="009C7BBB"/>
    <w:rsid w:val="009D08D9"/>
    <w:rsid w:val="009D7B25"/>
    <w:rsid w:val="00A31519"/>
    <w:rsid w:val="00A31AD5"/>
    <w:rsid w:val="00A37502"/>
    <w:rsid w:val="00A425BC"/>
    <w:rsid w:val="00A4290B"/>
    <w:rsid w:val="00A51852"/>
    <w:rsid w:val="00A57BA5"/>
    <w:rsid w:val="00A62579"/>
    <w:rsid w:val="00A63B54"/>
    <w:rsid w:val="00A6510B"/>
    <w:rsid w:val="00A7163F"/>
    <w:rsid w:val="00A86BC3"/>
    <w:rsid w:val="00A86FA6"/>
    <w:rsid w:val="00AB1C12"/>
    <w:rsid w:val="00AB1F3C"/>
    <w:rsid w:val="00AB6B9C"/>
    <w:rsid w:val="00AC0871"/>
    <w:rsid w:val="00AD1B68"/>
    <w:rsid w:val="00AD2713"/>
    <w:rsid w:val="00AE44C1"/>
    <w:rsid w:val="00AE6BB2"/>
    <w:rsid w:val="00AE7A29"/>
    <w:rsid w:val="00AF2A7D"/>
    <w:rsid w:val="00B0167E"/>
    <w:rsid w:val="00B0256D"/>
    <w:rsid w:val="00B3107C"/>
    <w:rsid w:val="00B50E08"/>
    <w:rsid w:val="00B51051"/>
    <w:rsid w:val="00B56DA4"/>
    <w:rsid w:val="00B84B5B"/>
    <w:rsid w:val="00B8699E"/>
    <w:rsid w:val="00B91512"/>
    <w:rsid w:val="00B97052"/>
    <w:rsid w:val="00BA7CF9"/>
    <w:rsid w:val="00BC499B"/>
    <w:rsid w:val="00BC54AA"/>
    <w:rsid w:val="00BD30A6"/>
    <w:rsid w:val="00BD5A12"/>
    <w:rsid w:val="00BE3AD9"/>
    <w:rsid w:val="00BE4842"/>
    <w:rsid w:val="00BF0035"/>
    <w:rsid w:val="00BF1CD4"/>
    <w:rsid w:val="00BF1E22"/>
    <w:rsid w:val="00BF3A19"/>
    <w:rsid w:val="00BF5347"/>
    <w:rsid w:val="00C04973"/>
    <w:rsid w:val="00C220CD"/>
    <w:rsid w:val="00C23620"/>
    <w:rsid w:val="00C43E75"/>
    <w:rsid w:val="00C476D2"/>
    <w:rsid w:val="00C54E83"/>
    <w:rsid w:val="00C56209"/>
    <w:rsid w:val="00C61728"/>
    <w:rsid w:val="00C83158"/>
    <w:rsid w:val="00C92A94"/>
    <w:rsid w:val="00CA264E"/>
    <w:rsid w:val="00CB4CF8"/>
    <w:rsid w:val="00CC27E2"/>
    <w:rsid w:val="00CC3564"/>
    <w:rsid w:val="00CC5602"/>
    <w:rsid w:val="00CC65E3"/>
    <w:rsid w:val="00CD1471"/>
    <w:rsid w:val="00CD1A8C"/>
    <w:rsid w:val="00CF36F4"/>
    <w:rsid w:val="00CF5756"/>
    <w:rsid w:val="00D011EE"/>
    <w:rsid w:val="00D01E91"/>
    <w:rsid w:val="00D12A6F"/>
    <w:rsid w:val="00D15BE4"/>
    <w:rsid w:val="00D309F6"/>
    <w:rsid w:val="00D45EE3"/>
    <w:rsid w:val="00D47458"/>
    <w:rsid w:val="00D5492E"/>
    <w:rsid w:val="00D57DBF"/>
    <w:rsid w:val="00D61399"/>
    <w:rsid w:val="00D7369A"/>
    <w:rsid w:val="00D750DD"/>
    <w:rsid w:val="00D82769"/>
    <w:rsid w:val="00D92FA1"/>
    <w:rsid w:val="00D949F8"/>
    <w:rsid w:val="00DA07BD"/>
    <w:rsid w:val="00DC56B6"/>
    <w:rsid w:val="00DD09CD"/>
    <w:rsid w:val="00DD35D2"/>
    <w:rsid w:val="00DD3609"/>
    <w:rsid w:val="00DE026C"/>
    <w:rsid w:val="00DE035D"/>
    <w:rsid w:val="00DE25E4"/>
    <w:rsid w:val="00DE3F74"/>
    <w:rsid w:val="00DE5BBF"/>
    <w:rsid w:val="00DF6B4F"/>
    <w:rsid w:val="00E209E9"/>
    <w:rsid w:val="00E2668C"/>
    <w:rsid w:val="00E31343"/>
    <w:rsid w:val="00E31A9E"/>
    <w:rsid w:val="00E50CEB"/>
    <w:rsid w:val="00E57374"/>
    <w:rsid w:val="00E64EB2"/>
    <w:rsid w:val="00E71578"/>
    <w:rsid w:val="00E72CA0"/>
    <w:rsid w:val="00E81DFE"/>
    <w:rsid w:val="00E93B56"/>
    <w:rsid w:val="00E954FF"/>
    <w:rsid w:val="00E9606F"/>
    <w:rsid w:val="00EA1301"/>
    <w:rsid w:val="00EB39E0"/>
    <w:rsid w:val="00EB4F56"/>
    <w:rsid w:val="00EB6934"/>
    <w:rsid w:val="00EB6D96"/>
    <w:rsid w:val="00EE0787"/>
    <w:rsid w:val="00F11FD5"/>
    <w:rsid w:val="00F158CB"/>
    <w:rsid w:val="00F23797"/>
    <w:rsid w:val="00F330AA"/>
    <w:rsid w:val="00F345A3"/>
    <w:rsid w:val="00F3584D"/>
    <w:rsid w:val="00F45BCE"/>
    <w:rsid w:val="00F56048"/>
    <w:rsid w:val="00F60199"/>
    <w:rsid w:val="00F76253"/>
    <w:rsid w:val="00F816F7"/>
    <w:rsid w:val="00F85EE3"/>
    <w:rsid w:val="00F94A0C"/>
    <w:rsid w:val="00FB27A4"/>
    <w:rsid w:val="00FC4776"/>
    <w:rsid w:val="00FD551A"/>
    <w:rsid w:val="00FD63AC"/>
    <w:rsid w:val="00FE387A"/>
    <w:rsid w:val="00FF6846"/>
    <w:rsid w:val="07C02B84"/>
    <w:rsid w:val="0C5D374E"/>
    <w:rsid w:val="0F2A5EAE"/>
    <w:rsid w:val="11594015"/>
    <w:rsid w:val="1489631B"/>
    <w:rsid w:val="14F74B3F"/>
    <w:rsid w:val="19A048A1"/>
    <w:rsid w:val="19AF7879"/>
    <w:rsid w:val="1A1F46C1"/>
    <w:rsid w:val="1A722447"/>
    <w:rsid w:val="1B0C7D58"/>
    <w:rsid w:val="241430A6"/>
    <w:rsid w:val="2588488F"/>
    <w:rsid w:val="28207D4E"/>
    <w:rsid w:val="2F9013DB"/>
    <w:rsid w:val="310534B6"/>
    <w:rsid w:val="31DD0E62"/>
    <w:rsid w:val="32E14926"/>
    <w:rsid w:val="369B1733"/>
    <w:rsid w:val="37B13695"/>
    <w:rsid w:val="39202096"/>
    <w:rsid w:val="41077F62"/>
    <w:rsid w:val="4140522F"/>
    <w:rsid w:val="428B40E2"/>
    <w:rsid w:val="47597DB9"/>
    <w:rsid w:val="496D508A"/>
    <w:rsid w:val="50CA156C"/>
    <w:rsid w:val="573D54CA"/>
    <w:rsid w:val="576C0FFD"/>
    <w:rsid w:val="58912771"/>
    <w:rsid w:val="5BA57F6A"/>
    <w:rsid w:val="60221151"/>
    <w:rsid w:val="64881A65"/>
    <w:rsid w:val="656A0688"/>
    <w:rsid w:val="6C474C68"/>
    <w:rsid w:val="6FC97E45"/>
    <w:rsid w:val="717D217C"/>
    <w:rsid w:val="71FA5815"/>
    <w:rsid w:val="745D5F57"/>
    <w:rsid w:val="74EB435E"/>
    <w:rsid w:val="77974CF6"/>
    <w:rsid w:val="79AB4269"/>
    <w:rsid w:val="7F257CB8"/>
    <w:rsid w:val="7F274B90"/>
    <w:rsid w:val="7F3B27D8"/>
  </w:rsids>
  <m:mathPr>
    <m:mathFont m:val="Cambria Math"/>
    <m:brkBin m:val="before"/>
    <m:brkBinSub m:val="--"/>
    <m:smallFrac m:val="0"/>
    <m:dispDef/>
    <m:lMargin m:val="0"/>
    <m:rMargin m:val="0"/>
    <m:defJc m:val="centerGroup"/>
    <m:wrapRight m:val="1"/>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54"/>
    <w:qFormat/>
    <w:uiPriority w:val="0"/>
    <w:pPr>
      <w:keepNext/>
      <w:keepLines/>
      <w:spacing w:before="120" w:after="120" w:line="360" w:lineRule="auto"/>
      <w:jc w:val="center"/>
      <w:outlineLvl w:val="0"/>
    </w:pPr>
    <w:rPr>
      <w:rFonts w:ascii="宋体" w:hAnsi="宋体"/>
      <w:b/>
      <w:bCs/>
      <w:kern w:val="44"/>
      <w:sz w:val="32"/>
      <w:szCs w:val="44"/>
    </w:rPr>
  </w:style>
  <w:style w:type="paragraph" w:styleId="6">
    <w:name w:val="heading 2"/>
    <w:basedOn w:val="1"/>
    <w:next w:val="1"/>
    <w:link w:val="61"/>
    <w:qFormat/>
    <w:uiPriority w:val="0"/>
    <w:pPr>
      <w:keepNext/>
      <w:spacing w:line="360" w:lineRule="auto"/>
      <w:jc w:val="left"/>
      <w:outlineLvl w:val="1"/>
    </w:pPr>
    <w:rPr>
      <w:rFonts w:ascii="仿宋_GB2312" w:hAnsi="仿宋_GB2312"/>
      <w:b/>
      <w:bCs/>
      <w:kern w:val="0"/>
      <w:sz w:val="28"/>
      <w:szCs w:val="20"/>
    </w:rPr>
  </w:style>
  <w:style w:type="paragraph" w:styleId="7">
    <w:name w:val="heading 3"/>
    <w:basedOn w:val="1"/>
    <w:next w:val="1"/>
    <w:link w:val="67"/>
    <w:qFormat/>
    <w:uiPriority w:val="0"/>
    <w:pPr>
      <w:keepNext/>
      <w:keepLines/>
      <w:spacing w:beforeLines="50" w:afterLines="50" w:line="360" w:lineRule="auto"/>
      <w:jc w:val="center"/>
      <w:outlineLvl w:val="2"/>
    </w:pPr>
    <w:rPr>
      <w:rFonts w:ascii="宋体" w:hAnsi="宋体"/>
      <w:b/>
      <w:bCs/>
      <w:sz w:val="32"/>
      <w:szCs w:val="32"/>
    </w:rPr>
  </w:style>
  <w:style w:type="paragraph" w:styleId="8">
    <w:name w:val="heading 4"/>
    <w:basedOn w:val="1"/>
    <w:next w:val="1"/>
    <w:link w:val="58"/>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79"/>
    <w:qFormat/>
    <w:uiPriority w:val="0"/>
    <w:pPr>
      <w:keepNext/>
      <w:keepLines/>
      <w:spacing w:before="280" w:after="290" w:line="372" w:lineRule="auto"/>
      <w:outlineLvl w:val="4"/>
    </w:pPr>
    <w:rPr>
      <w:rFonts w:ascii="Times New Roman" w:hAnsi="Times New Roman"/>
      <w:b/>
      <w:bCs/>
      <w:sz w:val="28"/>
      <w:szCs w:val="28"/>
    </w:rPr>
  </w:style>
  <w:style w:type="paragraph" w:styleId="10">
    <w:name w:val="heading 6"/>
    <w:basedOn w:val="1"/>
    <w:next w:val="1"/>
    <w:link w:val="64"/>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szCs w:val="24"/>
    </w:rPr>
  </w:style>
  <w:style w:type="paragraph" w:styleId="11">
    <w:name w:val="heading 7"/>
    <w:basedOn w:val="1"/>
    <w:next w:val="1"/>
    <w:link w:val="57"/>
    <w:qFormat/>
    <w:uiPriority w:val="0"/>
    <w:pPr>
      <w:keepNext/>
      <w:keepLines/>
      <w:widowControl/>
      <w:tabs>
        <w:tab w:val="left" w:pos="2520"/>
      </w:tabs>
      <w:spacing w:before="240" w:after="64" w:line="320" w:lineRule="auto"/>
      <w:ind w:left="1296" w:hanging="1296"/>
      <w:jc w:val="left"/>
      <w:outlineLvl w:val="6"/>
    </w:pPr>
    <w:rPr>
      <w:rFonts w:ascii="Times New Roman" w:hAnsi="Times New Roman"/>
      <w:b/>
      <w:bCs/>
      <w:kern w:val="0"/>
      <w:sz w:val="24"/>
      <w:szCs w:val="24"/>
    </w:rPr>
  </w:style>
  <w:style w:type="paragraph" w:styleId="12">
    <w:name w:val="heading 8"/>
    <w:basedOn w:val="1"/>
    <w:next w:val="1"/>
    <w:link w:val="73"/>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paragraph" w:styleId="13">
    <w:name w:val="heading 9"/>
    <w:basedOn w:val="1"/>
    <w:next w:val="1"/>
    <w:link w:val="52"/>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firstLine="210" w:firstLineChars="0"/>
    </w:pPr>
    <w:rPr>
      <w:rFonts w:ascii="Times New Roman" w:hAnsi="Times New Roman" w:cs="Times New Roman"/>
      <w:sz w:val="21"/>
      <w:szCs w:val="20"/>
    </w:rPr>
  </w:style>
  <w:style w:type="paragraph" w:styleId="3">
    <w:name w:val="Body Text Indent"/>
    <w:basedOn w:val="1"/>
    <w:next w:val="4"/>
    <w:link w:val="72"/>
    <w:qFormat/>
    <w:uiPriority w:val="0"/>
    <w:pPr>
      <w:spacing w:after="120"/>
      <w:ind w:left="420" w:leftChars="200"/>
    </w:pPr>
    <w:rPr>
      <w:rFonts w:ascii="Times New Roman" w:hAnsi="Times New Roman"/>
      <w:szCs w:val="24"/>
    </w:rPr>
  </w:style>
  <w:style w:type="paragraph" w:styleId="4">
    <w:name w:val="envelope return"/>
    <w:basedOn w:val="1"/>
    <w:qFormat/>
    <w:uiPriority w:val="0"/>
    <w:pPr>
      <w:snapToGrid w:val="0"/>
    </w:pPr>
    <w:rPr>
      <w:rFonts w:ascii="Arial" w:hAnsi="Arial"/>
    </w:rPr>
  </w:style>
  <w:style w:type="paragraph" w:styleId="14">
    <w:name w:val="toc 7"/>
    <w:basedOn w:val="1"/>
    <w:next w:val="1"/>
    <w:qFormat/>
    <w:uiPriority w:val="39"/>
    <w:pPr>
      <w:ind w:left="1260"/>
      <w:jc w:val="left"/>
    </w:pPr>
    <w:rPr>
      <w:sz w:val="18"/>
      <w:szCs w:val="18"/>
    </w:rPr>
  </w:style>
  <w:style w:type="paragraph" w:styleId="15">
    <w:name w:val="Normal Indent"/>
    <w:basedOn w:val="1"/>
    <w:link w:val="136"/>
    <w:qFormat/>
    <w:uiPriority w:val="99"/>
    <w:pPr>
      <w:ind w:firstLine="420" w:firstLineChars="200"/>
    </w:pPr>
    <w:rPr>
      <w:rFonts w:ascii="Times New Roman" w:hAnsi="Times New Roman"/>
      <w:szCs w:val="24"/>
    </w:rPr>
  </w:style>
  <w:style w:type="paragraph" w:styleId="16">
    <w:name w:val="List Bullet"/>
    <w:basedOn w:val="1"/>
    <w:qFormat/>
    <w:uiPriority w:val="0"/>
    <w:pPr>
      <w:tabs>
        <w:tab w:val="left" w:pos="360"/>
      </w:tabs>
      <w:ind w:left="360" w:hanging="360" w:hangingChars="200"/>
    </w:pPr>
    <w:rPr>
      <w:rFonts w:ascii="Times New Roman" w:hAnsi="Times New Roman"/>
      <w:szCs w:val="24"/>
    </w:rPr>
  </w:style>
  <w:style w:type="paragraph" w:styleId="17">
    <w:name w:val="Document Map"/>
    <w:basedOn w:val="1"/>
    <w:link w:val="60"/>
    <w:qFormat/>
    <w:uiPriority w:val="0"/>
    <w:pPr>
      <w:shd w:val="clear" w:color="auto" w:fill="000080"/>
    </w:pPr>
    <w:rPr>
      <w:rFonts w:ascii="Times New Roman" w:hAnsi="Times New Roman"/>
      <w:szCs w:val="24"/>
    </w:rPr>
  </w:style>
  <w:style w:type="paragraph" w:styleId="18">
    <w:name w:val="annotation text"/>
    <w:basedOn w:val="1"/>
    <w:link w:val="53"/>
    <w:unhideWhenUsed/>
    <w:qFormat/>
    <w:uiPriority w:val="0"/>
    <w:pPr>
      <w:jc w:val="left"/>
    </w:pPr>
    <w:rPr>
      <w:rFonts w:ascii="Times New Roman" w:hAnsi="Times New Roman"/>
      <w:szCs w:val="24"/>
    </w:rPr>
  </w:style>
  <w:style w:type="paragraph" w:styleId="19">
    <w:name w:val="Body Text 3"/>
    <w:basedOn w:val="1"/>
    <w:link w:val="71"/>
    <w:qFormat/>
    <w:uiPriority w:val="0"/>
    <w:rPr>
      <w:rFonts w:ascii="宋体" w:hAnsi="Times New Roman"/>
      <w:sz w:val="24"/>
      <w:szCs w:val="20"/>
    </w:rPr>
  </w:style>
  <w:style w:type="paragraph" w:styleId="20">
    <w:name w:val="Body Text"/>
    <w:basedOn w:val="1"/>
    <w:link w:val="77"/>
    <w:qFormat/>
    <w:uiPriority w:val="0"/>
    <w:pPr>
      <w:spacing w:after="120"/>
    </w:pPr>
    <w:rPr>
      <w:rFonts w:ascii="Times New Roman" w:hAnsi="Times New Roman"/>
      <w:szCs w:val="24"/>
    </w:rPr>
  </w:style>
  <w:style w:type="paragraph" w:styleId="21">
    <w:name w:val="List Bullet 2"/>
    <w:basedOn w:val="16"/>
    <w:qFormat/>
    <w:uiPriority w:val="0"/>
    <w:pPr>
      <w:widowControl/>
      <w:spacing w:after="220" w:line="220" w:lineRule="atLeast"/>
      <w:ind w:left="2160" w:right="720" w:firstLine="0" w:firstLineChars="0"/>
      <w:jc w:val="left"/>
    </w:pPr>
    <w:rPr>
      <w:kern w:val="0"/>
      <w:szCs w:val="20"/>
    </w:rPr>
  </w:style>
  <w:style w:type="paragraph" w:styleId="22">
    <w:name w:val="toc 5"/>
    <w:basedOn w:val="1"/>
    <w:next w:val="1"/>
    <w:qFormat/>
    <w:uiPriority w:val="39"/>
    <w:pPr>
      <w:ind w:left="840"/>
      <w:jc w:val="left"/>
    </w:pPr>
    <w:rPr>
      <w:sz w:val="18"/>
      <w:szCs w:val="18"/>
    </w:rPr>
  </w:style>
  <w:style w:type="paragraph" w:styleId="23">
    <w:name w:val="toc 3"/>
    <w:basedOn w:val="1"/>
    <w:next w:val="1"/>
    <w:qFormat/>
    <w:uiPriority w:val="39"/>
    <w:pPr>
      <w:ind w:left="420"/>
      <w:jc w:val="left"/>
    </w:pPr>
    <w:rPr>
      <w:i/>
      <w:iCs/>
      <w:sz w:val="20"/>
      <w:szCs w:val="20"/>
    </w:rPr>
  </w:style>
  <w:style w:type="paragraph" w:styleId="24">
    <w:name w:val="Plain Text"/>
    <w:basedOn w:val="1"/>
    <w:link w:val="63"/>
    <w:qFormat/>
    <w:uiPriority w:val="99"/>
    <w:rPr>
      <w:rFonts w:ascii="宋体" w:hAnsi="Courier New"/>
      <w:szCs w:val="20"/>
    </w:rPr>
  </w:style>
  <w:style w:type="paragraph" w:styleId="25">
    <w:name w:val="toc 8"/>
    <w:basedOn w:val="1"/>
    <w:next w:val="1"/>
    <w:qFormat/>
    <w:uiPriority w:val="39"/>
    <w:pPr>
      <w:ind w:left="1470"/>
      <w:jc w:val="left"/>
    </w:pPr>
    <w:rPr>
      <w:sz w:val="18"/>
      <w:szCs w:val="18"/>
    </w:rPr>
  </w:style>
  <w:style w:type="paragraph" w:styleId="26">
    <w:name w:val="Date"/>
    <w:basedOn w:val="1"/>
    <w:next w:val="1"/>
    <w:link w:val="62"/>
    <w:qFormat/>
    <w:uiPriority w:val="99"/>
    <w:rPr>
      <w:rFonts w:ascii="Times New Roman" w:hAnsi="Times New Roman"/>
      <w:sz w:val="30"/>
      <w:szCs w:val="20"/>
    </w:rPr>
  </w:style>
  <w:style w:type="paragraph" w:styleId="27">
    <w:name w:val="Body Text Indent 2"/>
    <w:basedOn w:val="1"/>
    <w:link w:val="70"/>
    <w:qFormat/>
    <w:uiPriority w:val="99"/>
    <w:pPr>
      <w:ind w:left="731" w:leftChars="348" w:firstLine="312" w:firstLineChars="130"/>
    </w:pPr>
    <w:rPr>
      <w:rFonts w:ascii="Times New Roman" w:hAnsi="Times New Roman"/>
      <w:sz w:val="24"/>
      <w:szCs w:val="20"/>
    </w:rPr>
  </w:style>
  <w:style w:type="paragraph" w:styleId="28">
    <w:name w:val="Balloon Text"/>
    <w:basedOn w:val="1"/>
    <w:link w:val="80"/>
    <w:unhideWhenUsed/>
    <w:qFormat/>
    <w:uiPriority w:val="0"/>
    <w:rPr>
      <w:sz w:val="18"/>
      <w:szCs w:val="18"/>
    </w:rPr>
  </w:style>
  <w:style w:type="paragraph" w:styleId="29">
    <w:name w:val="footer"/>
    <w:basedOn w:val="1"/>
    <w:link w:val="76"/>
    <w:qFormat/>
    <w:uiPriority w:val="99"/>
    <w:pPr>
      <w:tabs>
        <w:tab w:val="center" w:pos="4153"/>
        <w:tab w:val="right" w:pos="8306"/>
      </w:tabs>
      <w:snapToGrid w:val="0"/>
      <w:jc w:val="left"/>
    </w:pPr>
    <w:rPr>
      <w:sz w:val="18"/>
      <w:szCs w:val="18"/>
    </w:rPr>
  </w:style>
  <w:style w:type="paragraph" w:styleId="30">
    <w:name w:val="header"/>
    <w:basedOn w:val="1"/>
    <w:link w:val="78"/>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spacing w:before="120" w:after="120"/>
      <w:jc w:val="left"/>
    </w:pPr>
    <w:rPr>
      <w:b/>
      <w:bCs/>
      <w:caps/>
      <w:sz w:val="20"/>
      <w:szCs w:val="20"/>
    </w:rPr>
  </w:style>
  <w:style w:type="paragraph" w:styleId="32">
    <w:name w:val="toc 4"/>
    <w:basedOn w:val="1"/>
    <w:next w:val="1"/>
    <w:qFormat/>
    <w:uiPriority w:val="39"/>
    <w:pPr>
      <w:ind w:left="630"/>
      <w:jc w:val="left"/>
    </w:pPr>
    <w:rPr>
      <w:sz w:val="18"/>
      <w:szCs w:val="18"/>
    </w:rPr>
  </w:style>
  <w:style w:type="paragraph" w:styleId="33">
    <w:name w:val="footnote text"/>
    <w:basedOn w:val="1"/>
    <w:link w:val="138"/>
    <w:qFormat/>
    <w:uiPriority w:val="0"/>
    <w:pPr>
      <w:tabs>
        <w:tab w:val="left" w:pos="900"/>
      </w:tabs>
      <w:snapToGrid w:val="0"/>
      <w:jc w:val="left"/>
    </w:pPr>
    <w:rPr>
      <w:rFonts w:asciiTheme="minorHAnsi" w:hAnsiTheme="minorHAnsi" w:eastAsiaTheme="minorEastAsia" w:cstheme="minorBidi"/>
      <w:sz w:val="18"/>
      <w:szCs w:val="24"/>
    </w:rPr>
  </w:style>
  <w:style w:type="paragraph" w:styleId="34">
    <w:name w:val="toc 6"/>
    <w:basedOn w:val="1"/>
    <w:next w:val="1"/>
    <w:qFormat/>
    <w:uiPriority w:val="39"/>
    <w:pPr>
      <w:ind w:left="1050"/>
      <w:jc w:val="left"/>
    </w:pPr>
    <w:rPr>
      <w:sz w:val="18"/>
      <w:szCs w:val="18"/>
    </w:rPr>
  </w:style>
  <w:style w:type="paragraph" w:styleId="35">
    <w:name w:val="Body Text Indent 3"/>
    <w:basedOn w:val="1"/>
    <w:link w:val="69"/>
    <w:qFormat/>
    <w:uiPriority w:val="0"/>
    <w:pPr>
      <w:spacing w:line="520" w:lineRule="exact"/>
      <w:ind w:firstLine="480" w:firstLineChars="200"/>
    </w:pPr>
    <w:rPr>
      <w:rFonts w:ascii="黑体" w:hAnsi="Times New Roman" w:eastAsia="黑体"/>
      <w:sz w:val="24"/>
      <w:szCs w:val="24"/>
    </w:rPr>
  </w:style>
  <w:style w:type="paragraph" w:styleId="36">
    <w:name w:val="toc 2"/>
    <w:basedOn w:val="1"/>
    <w:next w:val="1"/>
    <w:qFormat/>
    <w:uiPriority w:val="39"/>
    <w:pPr>
      <w:ind w:left="210"/>
      <w:jc w:val="left"/>
    </w:pPr>
    <w:rPr>
      <w:smallCaps/>
      <w:sz w:val="20"/>
      <w:szCs w:val="20"/>
    </w:rPr>
  </w:style>
  <w:style w:type="paragraph" w:styleId="37">
    <w:name w:val="toc 9"/>
    <w:basedOn w:val="1"/>
    <w:next w:val="1"/>
    <w:qFormat/>
    <w:uiPriority w:val="39"/>
    <w:pPr>
      <w:ind w:left="1680"/>
      <w:jc w:val="left"/>
    </w:pPr>
    <w:rPr>
      <w:sz w:val="18"/>
      <w:szCs w:val="18"/>
    </w:rPr>
  </w:style>
  <w:style w:type="paragraph" w:styleId="38">
    <w:name w:val="Body Text 2"/>
    <w:basedOn w:val="1"/>
    <w:link w:val="65"/>
    <w:qFormat/>
    <w:uiPriority w:val="0"/>
    <w:rPr>
      <w:rFonts w:ascii="Times New Roman" w:hAnsi="Times New Roman" w:eastAsia="楷体_GB2312"/>
      <w:b/>
      <w:bCs/>
      <w:szCs w:val="24"/>
    </w:rPr>
  </w:style>
  <w:style w:type="paragraph" w:styleId="3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40">
    <w:name w:val="Title"/>
    <w:basedOn w:val="1"/>
    <w:link w:val="59"/>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1">
    <w:name w:val="annotation subject"/>
    <w:basedOn w:val="18"/>
    <w:next w:val="18"/>
    <w:link w:val="66"/>
    <w:qFormat/>
    <w:uiPriority w:val="0"/>
    <w:rPr>
      <w:b/>
      <w:bCs/>
    </w:rPr>
  </w:style>
  <w:style w:type="paragraph" w:styleId="42">
    <w:name w:val="Body Text First Indent"/>
    <w:basedOn w:val="20"/>
    <w:link w:val="137"/>
    <w:semiHidden/>
    <w:unhideWhenUsed/>
    <w:qFormat/>
    <w:uiPriority w:val="99"/>
    <w:pPr>
      <w:ind w:firstLine="420" w:firstLineChars="100"/>
    </w:pPr>
    <w:rPr>
      <w:rFonts w:ascii="Calibri" w:hAnsi="Calibri"/>
      <w:szCs w:val="22"/>
    </w:rPr>
  </w:style>
  <w:style w:type="table" w:styleId="44">
    <w:name w:val="Table Grid"/>
    <w:basedOn w:val="43"/>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99"/>
    <w:rPr>
      <w:color w:val="800080"/>
      <w:u w:val="single"/>
    </w:rPr>
  </w:style>
  <w:style w:type="character" w:styleId="49">
    <w:name w:val="Emphasis"/>
    <w:qFormat/>
    <w:uiPriority w:val="0"/>
    <w:rPr>
      <w:color w:val="CC0000"/>
    </w:rPr>
  </w:style>
  <w:style w:type="character" w:styleId="50">
    <w:name w:val="Hyperlink"/>
    <w:qFormat/>
    <w:uiPriority w:val="0"/>
    <w:rPr>
      <w:color w:val="0000FF"/>
      <w:u w:val="single"/>
    </w:rPr>
  </w:style>
  <w:style w:type="character" w:styleId="51">
    <w:name w:val="annotation reference"/>
    <w:qFormat/>
    <w:uiPriority w:val="0"/>
    <w:rPr>
      <w:sz w:val="21"/>
      <w:szCs w:val="21"/>
    </w:rPr>
  </w:style>
  <w:style w:type="character" w:customStyle="1" w:styleId="52">
    <w:name w:val="标题 9 Char"/>
    <w:basedOn w:val="45"/>
    <w:link w:val="13"/>
    <w:qFormat/>
    <w:uiPriority w:val="0"/>
    <w:rPr>
      <w:rFonts w:ascii="Arial" w:hAnsi="Arial" w:eastAsia="黑体"/>
      <w:sz w:val="21"/>
      <w:szCs w:val="21"/>
    </w:rPr>
  </w:style>
  <w:style w:type="character" w:customStyle="1" w:styleId="53">
    <w:name w:val="批注文字 Char"/>
    <w:basedOn w:val="45"/>
    <w:link w:val="18"/>
    <w:qFormat/>
    <w:uiPriority w:val="0"/>
    <w:rPr>
      <w:kern w:val="2"/>
      <w:sz w:val="21"/>
      <w:szCs w:val="24"/>
    </w:rPr>
  </w:style>
  <w:style w:type="character" w:customStyle="1" w:styleId="54">
    <w:name w:val="标题 1 Char"/>
    <w:basedOn w:val="45"/>
    <w:link w:val="5"/>
    <w:qFormat/>
    <w:uiPriority w:val="0"/>
    <w:rPr>
      <w:rFonts w:ascii="宋体" w:hAnsi="宋体" w:eastAsia="宋体"/>
      <w:b/>
      <w:bCs/>
      <w:kern w:val="44"/>
      <w:sz w:val="32"/>
      <w:szCs w:val="44"/>
    </w:rPr>
  </w:style>
  <w:style w:type="character" w:customStyle="1" w:styleId="55">
    <w:name w:val="Blockquote Char Char"/>
    <w:link w:val="56"/>
    <w:qFormat/>
    <w:uiPriority w:val="0"/>
    <w:rPr>
      <w:kern w:val="2"/>
      <w:sz w:val="24"/>
      <w:szCs w:val="24"/>
    </w:rPr>
  </w:style>
  <w:style w:type="paragraph" w:customStyle="1" w:styleId="56">
    <w:name w:val="Blockquote Char"/>
    <w:basedOn w:val="1"/>
    <w:link w:val="55"/>
    <w:qFormat/>
    <w:uiPriority w:val="0"/>
    <w:pPr>
      <w:autoSpaceDE w:val="0"/>
      <w:autoSpaceDN w:val="0"/>
      <w:adjustRightInd w:val="0"/>
      <w:spacing w:before="100" w:after="100"/>
      <w:ind w:left="360" w:right="360"/>
      <w:jc w:val="left"/>
    </w:pPr>
    <w:rPr>
      <w:rFonts w:ascii="Times New Roman" w:hAnsi="Times New Roman"/>
      <w:sz w:val="24"/>
      <w:szCs w:val="24"/>
    </w:rPr>
  </w:style>
  <w:style w:type="character" w:customStyle="1" w:styleId="57">
    <w:name w:val="标题 7 Char"/>
    <w:basedOn w:val="45"/>
    <w:link w:val="11"/>
    <w:qFormat/>
    <w:uiPriority w:val="0"/>
    <w:rPr>
      <w:b/>
      <w:bCs/>
      <w:sz w:val="24"/>
      <w:szCs w:val="24"/>
    </w:rPr>
  </w:style>
  <w:style w:type="character" w:customStyle="1" w:styleId="58">
    <w:name w:val="标题 4 Char"/>
    <w:basedOn w:val="45"/>
    <w:link w:val="8"/>
    <w:qFormat/>
    <w:uiPriority w:val="0"/>
    <w:rPr>
      <w:rFonts w:ascii="Arial" w:hAnsi="Arial" w:eastAsia="黑体"/>
      <w:b/>
      <w:bCs/>
      <w:kern w:val="2"/>
      <w:sz w:val="28"/>
      <w:szCs w:val="28"/>
    </w:rPr>
  </w:style>
  <w:style w:type="character" w:customStyle="1" w:styleId="59">
    <w:name w:val="标题 Char"/>
    <w:basedOn w:val="45"/>
    <w:link w:val="40"/>
    <w:qFormat/>
    <w:uiPriority w:val="0"/>
    <w:rPr>
      <w:rFonts w:ascii="Arial" w:hAnsi="Arial"/>
      <w:b/>
      <w:sz w:val="32"/>
    </w:rPr>
  </w:style>
  <w:style w:type="character" w:customStyle="1" w:styleId="60">
    <w:name w:val="文档结构图 Char"/>
    <w:basedOn w:val="45"/>
    <w:link w:val="17"/>
    <w:qFormat/>
    <w:uiPriority w:val="0"/>
    <w:rPr>
      <w:kern w:val="2"/>
      <w:sz w:val="21"/>
      <w:szCs w:val="24"/>
      <w:shd w:val="clear" w:color="auto" w:fill="000080"/>
    </w:rPr>
  </w:style>
  <w:style w:type="character" w:customStyle="1" w:styleId="61">
    <w:name w:val="标题 2 Char"/>
    <w:basedOn w:val="45"/>
    <w:link w:val="6"/>
    <w:qFormat/>
    <w:uiPriority w:val="0"/>
    <w:rPr>
      <w:rFonts w:ascii="仿宋_GB2312" w:hAnsi="仿宋_GB2312"/>
      <w:b/>
      <w:bCs/>
      <w:sz w:val="28"/>
    </w:rPr>
  </w:style>
  <w:style w:type="character" w:customStyle="1" w:styleId="62">
    <w:name w:val="日期 Char"/>
    <w:basedOn w:val="45"/>
    <w:link w:val="26"/>
    <w:qFormat/>
    <w:uiPriority w:val="99"/>
    <w:rPr>
      <w:kern w:val="2"/>
      <w:sz w:val="30"/>
    </w:rPr>
  </w:style>
  <w:style w:type="character" w:customStyle="1" w:styleId="63">
    <w:name w:val="纯文本 Char"/>
    <w:basedOn w:val="45"/>
    <w:link w:val="24"/>
    <w:qFormat/>
    <w:uiPriority w:val="99"/>
    <w:rPr>
      <w:rFonts w:ascii="宋体" w:hAnsi="Courier New"/>
      <w:kern w:val="2"/>
      <w:sz w:val="21"/>
    </w:rPr>
  </w:style>
  <w:style w:type="character" w:customStyle="1" w:styleId="64">
    <w:name w:val="标题 6 Char"/>
    <w:basedOn w:val="45"/>
    <w:link w:val="10"/>
    <w:qFormat/>
    <w:uiPriority w:val="0"/>
    <w:rPr>
      <w:rFonts w:ascii="Arial" w:hAnsi="Arial" w:eastAsia="黑体"/>
      <w:b/>
      <w:bCs/>
      <w:sz w:val="24"/>
      <w:szCs w:val="24"/>
    </w:rPr>
  </w:style>
  <w:style w:type="character" w:customStyle="1" w:styleId="65">
    <w:name w:val="正文文本 2 Char"/>
    <w:basedOn w:val="45"/>
    <w:link w:val="38"/>
    <w:qFormat/>
    <w:uiPriority w:val="0"/>
    <w:rPr>
      <w:rFonts w:eastAsia="楷体_GB2312"/>
      <w:b/>
      <w:bCs/>
      <w:kern w:val="2"/>
      <w:sz w:val="21"/>
      <w:szCs w:val="24"/>
    </w:rPr>
  </w:style>
  <w:style w:type="character" w:customStyle="1" w:styleId="66">
    <w:name w:val="批注主题 Char"/>
    <w:basedOn w:val="53"/>
    <w:link w:val="41"/>
    <w:qFormat/>
    <w:uiPriority w:val="0"/>
    <w:rPr>
      <w:b/>
      <w:bCs/>
    </w:rPr>
  </w:style>
  <w:style w:type="character" w:customStyle="1" w:styleId="67">
    <w:name w:val="标题 3 Char"/>
    <w:basedOn w:val="45"/>
    <w:link w:val="7"/>
    <w:qFormat/>
    <w:uiPriority w:val="0"/>
    <w:rPr>
      <w:rFonts w:ascii="宋体" w:hAnsi="宋体"/>
      <w:b/>
      <w:bCs/>
      <w:kern w:val="2"/>
      <w:sz w:val="32"/>
      <w:szCs w:val="32"/>
    </w:rPr>
  </w:style>
  <w:style w:type="character" w:customStyle="1" w:styleId="68">
    <w:name w:val="font161"/>
    <w:qFormat/>
    <w:uiPriority w:val="0"/>
    <w:rPr>
      <w:b/>
      <w:bCs/>
      <w:sz w:val="32"/>
      <w:szCs w:val="32"/>
    </w:rPr>
  </w:style>
  <w:style w:type="character" w:customStyle="1" w:styleId="69">
    <w:name w:val="正文文本缩进 3 Char"/>
    <w:basedOn w:val="45"/>
    <w:link w:val="35"/>
    <w:qFormat/>
    <w:uiPriority w:val="0"/>
    <w:rPr>
      <w:rFonts w:ascii="黑体" w:eastAsia="黑体"/>
      <w:kern w:val="2"/>
      <w:sz w:val="24"/>
      <w:szCs w:val="24"/>
    </w:rPr>
  </w:style>
  <w:style w:type="character" w:customStyle="1" w:styleId="70">
    <w:name w:val="正文文本缩进 2 Char"/>
    <w:basedOn w:val="45"/>
    <w:link w:val="27"/>
    <w:qFormat/>
    <w:uiPriority w:val="99"/>
    <w:rPr>
      <w:kern w:val="2"/>
      <w:sz w:val="24"/>
    </w:rPr>
  </w:style>
  <w:style w:type="character" w:customStyle="1" w:styleId="71">
    <w:name w:val="正文文本 3 Char"/>
    <w:basedOn w:val="45"/>
    <w:link w:val="19"/>
    <w:qFormat/>
    <w:uiPriority w:val="0"/>
    <w:rPr>
      <w:rFonts w:ascii="宋体"/>
      <w:kern w:val="2"/>
      <w:sz w:val="24"/>
    </w:rPr>
  </w:style>
  <w:style w:type="character" w:customStyle="1" w:styleId="72">
    <w:name w:val="正文文本缩进 Char"/>
    <w:basedOn w:val="45"/>
    <w:link w:val="3"/>
    <w:qFormat/>
    <w:uiPriority w:val="0"/>
    <w:rPr>
      <w:kern w:val="2"/>
      <w:sz w:val="21"/>
      <w:szCs w:val="24"/>
    </w:rPr>
  </w:style>
  <w:style w:type="character" w:customStyle="1" w:styleId="73">
    <w:name w:val="标题 8 Char"/>
    <w:basedOn w:val="45"/>
    <w:link w:val="12"/>
    <w:qFormat/>
    <w:uiPriority w:val="0"/>
    <w:rPr>
      <w:rFonts w:ascii="Arial" w:hAnsi="Arial" w:eastAsia="黑体"/>
      <w:sz w:val="24"/>
      <w:szCs w:val="24"/>
    </w:rPr>
  </w:style>
  <w:style w:type="character" w:customStyle="1" w:styleId="74">
    <w:name w:val="z-窗体底端 Char"/>
    <w:basedOn w:val="45"/>
    <w:link w:val="75"/>
    <w:qFormat/>
    <w:uiPriority w:val="0"/>
    <w:rPr>
      <w:rFonts w:ascii="Arial" w:hAnsi="Arial" w:cs="Arial"/>
      <w:vanish/>
      <w:sz w:val="16"/>
      <w:szCs w:val="16"/>
    </w:rPr>
  </w:style>
  <w:style w:type="paragraph" w:customStyle="1" w:styleId="75">
    <w:name w:val="HTML Bottom of Form"/>
    <w:basedOn w:val="1"/>
    <w:next w:val="1"/>
    <w:link w:val="74"/>
    <w:qFormat/>
    <w:uiPriority w:val="0"/>
    <w:pPr>
      <w:widowControl/>
      <w:pBdr>
        <w:top w:val="single" w:color="auto" w:sz="6" w:space="1"/>
      </w:pBdr>
      <w:jc w:val="center"/>
    </w:pPr>
    <w:rPr>
      <w:rFonts w:ascii="Arial" w:hAnsi="Arial" w:cs="Arial"/>
      <w:vanish/>
      <w:kern w:val="0"/>
      <w:sz w:val="16"/>
      <w:szCs w:val="16"/>
    </w:rPr>
  </w:style>
  <w:style w:type="character" w:customStyle="1" w:styleId="76">
    <w:name w:val="页脚 Char"/>
    <w:basedOn w:val="45"/>
    <w:link w:val="29"/>
    <w:qFormat/>
    <w:uiPriority w:val="99"/>
    <w:rPr>
      <w:sz w:val="18"/>
      <w:szCs w:val="18"/>
    </w:rPr>
  </w:style>
  <w:style w:type="character" w:customStyle="1" w:styleId="77">
    <w:name w:val="正文文本 Char"/>
    <w:basedOn w:val="45"/>
    <w:link w:val="20"/>
    <w:qFormat/>
    <w:uiPriority w:val="0"/>
    <w:rPr>
      <w:kern w:val="2"/>
      <w:sz w:val="21"/>
      <w:szCs w:val="24"/>
    </w:rPr>
  </w:style>
  <w:style w:type="character" w:customStyle="1" w:styleId="78">
    <w:name w:val="页眉 Char"/>
    <w:basedOn w:val="45"/>
    <w:link w:val="30"/>
    <w:qFormat/>
    <w:uiPriority w:val="99"/>
    <w:rPr>
      <w:sz w:val="18"/>
      <w:szCs w:val="18"/>
    </w:rPr>
  </w:style>
  <w:style w:type="character" w:customStyle="1" w:styleId="79">
    <w:name w:val="标题 5 Char"/>
    <w:basedOn w:val="45"/>
    <w:link w:val="9"/>
    <w:qFormat/>
    <w:uiPriority w:val="0"/>
    <w:rPr>
      <w:b/>
      <w:bCs/>
      <w:kern w:val="2"/>
      <w:sz w:val="28"/>
      <w:szCs w:val="28"/>
    </w:rPr>
  </w:style>
  <w:style w:type="character" w:customStyle="1" w:styleId="80">
    <w:name w:val="批注框文本 Char"/>
    <w:basedOn w:val="45"/>
    <w:link w:val="28"/>
    <w:qFormat/>
    <w:uiPriority w:val="0"/>
    <w:rPr>
      <w:rFonts w:ascii="Calibri" w:hAnsi="Calibri"/>
      <w:kern w:val="2"/>
      <w:sz w:val="18"/>
      <w:szCs w:val="18"/>
    </w:rPr>
  </w:style>
  <w:style w:type="paragraph" w:customStyle="1" w:styleId="81">
    <w:name w:val="表文"/>
    <w:basedOn w:val="1"/>
    <w:qFormat/>
    <w:uiPriority w:val="0"/>
    <w:pPr>
      <w:widowControl/>
      <w:spacing w:line="360" w:lineRule="atLeast"/>
      <w:jc w:val="left"/>
      <w:textAlignment w:val="baseline"/>
    </w:pPr>
    <w:rPr>
      <w:rFonts w:ascii="宋体"/>
      <w:kern w:val="0"/>
    </w:rPr>
  </w:style>
  <w:style w:type="paragraph" w:customStyle="1" w:styleId="82">
    <w:name w:val="样式 小四 加粗 行距: 多倍行距 1.25 字行"/>
    <w:basedOn w:val="1"/>
    <w:qFormat/>
    <w:uiPriority w:val="0"/>
    <w:pPr>
      <w:tabs>
        <w:tab w:val="left" w:pos="960"/>
      </w:tabs>
      <w:spacing w:beforeLines="50" w:afterLines="50" w:line="300" w:lineRule="auto"/>
      <w:ind w:left="1800" w:hanging="360"/>
    </w:pPr>
    <w:rPr>
      <w:rFonts w:ascii="Times New Roman" w:hAnsi="Times New Roman"/>
      <w:b/>
      <w:sz w:val="24"/>
      <w:szCs w:val="20"/>
    </w:rPr>
  </w:style>
  <w:style w:type="paragraph" w:customStyle="1" w:styleId="83">
    <w:name w:val="xl69"/>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84">
    <w:name w:val="xl79"/>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85">
    <w:name w:val="Char Char Char Char"/>
    <w:basedOn w:val="1"/>
    <w:qFormat/>
    <w:uiPriority w:val="0"/>
    <w:rPr>
      <w:rFonts w:ascii="Times New Roman" w:hAnsi="Times New Roman"/>
      <w:szCs w:val="24"/>
    </w:rPr>
  </w:style>
  <w:style w:type="paragraph" w:customStyle="1" w:styleId="86">
    <w:name w:val="TOC Heading"/>
    <w:basedOn w:val="5"/>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7">
    <w:name w:val="默认段落字体 Char"/>
    <w:basedOn w:val="1"/>
    <w:qFormat/>
    <w:uiPriority w:val="0"/>
    <w:rPr>
      <w:rFonts w:ascii="Times New Roman" w:hAnsi="Times New Roman"/>
      <w:szCs w:val="24"/>
    </w:rPr>
  </w:style>
  <w:style w:type="paragraph" w:customStyle="1" w:styleId="88">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89">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90">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91">
    <w:name w:val="xl81"/>
    <w:basedOn w:val="1"/>
    <w:qFormat/>
    <w:uiPriority w:val="0"/>
    <w:pPr>
      <w:widowControl/>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92">
    <w:name w:val="样式 标题 1 + 黑体 三号 非加粗 居中 段前: 6 磅 段后: 6 磅 行距: 固定值 20 磅"/>
    <w:basedOn w:val="5"/>
    <w:qFormat/>
    <w:uiPriority w:val="0"/>
    <w:pPr>
      <w:spacing w:line="400" w:lineRule="exact"/>
    </w:pPr>
    <w:rPr>
      <w:rFonts w:ascii="黑体" w:hAnsi="黑体" w:eastAsia="黑体" w:cs="宋体"/>
      <w:b w:val="0"/>
      <w:bCs w:val="0"/>
      <w:szCs w:val="20"/>
    </w:rPr>
  </w:style>
  <w:style w:type="paragraph" w:customStyle="1" w:styleId="93">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94">
    <w:name w:val="xl70"/>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cs="宋体"/>
      <w:color w:val="000000"/>
      <w:kern w:val="0"/>
      <w:sz w:val="24"/>
      <w:szCs w:val="24"/>
    </w:rPr>
  </w:style>
  <w:style w:type="paragraph" w:customStyle="1" w:styleId="95">
    <w:name w:val="表格"/>
    <w:basedOn w:val="1"/>
    <w:qFormat/>
    <w:uiPriority w:val="0"/>
    <w:pPr>
      <w:jc w:val="center"/>
      <w:textAlignment w:val="center"/>
    </w:pPr>
    <w:rPr>
      <w:rFonts w:ascii="华文细黑" w:hAnsi="华文细黑"/>
      <w:kern w:val="0"/>
      <w:szCs w:val="20"/>
    </w:rPr>
  </w:style>
  <w:style w:type="paragraph" w:customStyle="1" w:styleId="96">
    <w:name w:val="xl78"/>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97">
    <w:name w:val="xl80"/>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98">
    <w:name w:val="列出段落1"/>
    <w:basedOn w:val="1"/>
    <w:qFormat/>
    <w:uiPriority w:val="99"/>
    <w:pPr>
      <w:ind w:firstLine="420" w:firstLineChars="200"/>
    </w:pPr>
    <w:rPr>
      <w:rFonts w:ascii="Times New Roman" w:hAnsi="Times New Roman"/>
      <w:szCs w:val="24"/>
    </w:rPr>
  </w:style>
  <w:style w:type="paragraph" w:customStyle="1" w:styleId="99">
    <w:name w:val="xl75"/>
    <w:basedOn w:val="1"/>
    <w:qFormat/>
    <w:uiPriority w:val="0"/>
    <w:pPr>
      <w:widowControl/>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10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01">
    <w:name w:val="xl71"/>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102">
    <w:name w:val="xl76"/>
    <w:basedOn w:val="1"/>
    <w:qFormat/>
    <w:uiPriority w:val="0"/>
    <w:pPr>
      <w:widowControl/>
      <w:shd w:val="clear" w:color="FFFFFF" w:fill="FFFFFF"/>
      <w:spacing w:before="100" w:beforeAutospacing="1" w:after="100" w:afterAutospacing="1"/>
      <w:jc w:val="right"/>
      <w:textAlignment w:val="center"/>
    </w:pPr>
    <w:rPr>
      <w:rFonts w:ascii="宋体" w:hAnsi="宋体" w:cs="宋体"/>
      <w:color w:val="000000"/>
      <w:kern w:val="0"/>
      <w:sz w:val="24"/>
      <w:szCs w:val="24"/>
    </w:rPr>
  </w:style>
  <w:style w:type="paragraph" w:customStyle="1" w:styleId="103">
    <w:name w:val="正文2"/>
    <w:qFormat/>
    <w:uiPriority w:val="0"/>
    <w:pPr>
      <w:widowControl w:val="0"/>
      <w:adjustRightInd w:val="0"/>
      <w:spacing w:line="0" w:lineRule="atLeast"/>
      <w:textAlignment w:val="baseline"/>
    </w:pPr>
    <w:rPr>
      <w:rFonts w:ascii="Tms Rmn" w:hAnsi="Tms Rmn" w:eastAsia="宋体" w:cs="Times New Roman"/>
      <w:sz w:val="24"/>
      <w:szCs w:val="22"/>
      <w:lang w:val="en-US" w:eastAsia="zh-CN" w:bidi="ar-SA"/>
    </w:rPr>
  </w:style>
  <w:style w:type="paragraph" w:customStyle="1" w:styleId="104">
    <w:name w:val="xl74"/>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styleId="105">
    <w:name w:val="List Paragraph"/>
    <w:basedOn w:val="1"/>
    <w:qFormat/>
    <w:uiPriority w:val="1"/>
    <w:pPr>
      <w:ind w:firstLine="420" w:firstLineChars="200"/>
    </w:pPr>
    <w:rPr>
      <w:rFonts w:ascii="Times New Roman" w:hAnsi="Times New Roman"/>
      <w:szCs w:val="24"/>
    </w:rPr>
  </w:style>
  <w:style w:type="paragraph" w:customStyle="1" w:styleId="106">
    <w:name w:val="表内容1"/>
    <w:basedOn w:val="107"/>
    <w:qFormat/>
    <w:uiPriority w:val="0"/>
    <w:pPr>
      <w:tabs>
        <w:tab w:val="left" w:pos="0"/>
        <w:tab w:val="left" w:pos="840"/>
        <w:tab w:val="left" w:pos="1200"/>
      </w:tabs>
      <w:spacing w:before="0" w:after="0"/>
      <w:textAlignment w:val="baseline"/>
    </w:pPr>
    <w:rPr>
      <w:rFonts w:ascii="楷体_GB2312" w:eastAsia="楷体_GB2312"/>
    </w:rPr>
  </w:style>
  <w:style w:type="paragraph" w:customStyle="1" w:styleId="107">
    <w:name w:val="表内容"/>
    <w:basedOn w:val="1"/>
    <w:qFormat/>
    <w:uiPriority w:val="0"/>
    <w:pPr>
      <w:widowControl/>
      <w:spacing w:before="60" w:after="60"/>
      <w:jc w:val="center"/>
    </w:pPr>
    <w:rPr>
      <w:kern w:val="0"/>
      <w:sz w:val="24"/>
    </w:rPr>
  </w:style>
  <w:style w:type="paragraph" w:customStyle="1" w:styleId="108">
    <w:name w:val="Char"/>
    <w:basedOn w:val="17"/>
    <w:qFormat/>
    <w:uiPriority w:val="0"/>
  </w:style>
  <w:style w:type="paragraph" w:customStyle="1" w:styleId="109">
    <w:name w:val="样式 标题 3 + (中文) 黑体 小四 非加粗 段前: 7.8 磅 段后: 0 磅 行距: 固定值 20 磅"/>
    <w:basedOn w:val="7"/>
    <w:qFormat/>
    <w:uiPriority w:val="0"/>
    <w:pPr>
      <w:spacing w:beforeLines="0" w:afterLines="0" w:line="400" w:lineRule="exact"/>
      <w:jc w:val="both"/>
    </w:pPr>
    <w:rPr>
      <w:rFonts w:ascii="Times New Roman" w:hAnsi="Times New Roman" w:eastAsia="黑体" w:cs="宋体"/>
      <w:b w:val="0"/>
      <w:bCs w:val="0"/>
      <w:sz w:val="24"/>
      <w:szCs w:val="20"/>
    </w:rPr>
  </w:style>
  <w:style w:type="paragraph" w:customStyle="1" w:styleId="110">
    <w:name w:val="p0"/>
    <w:basedOn w:val="1"/>
    <w:qFormat/>
    <w:uiPriority w:val="0"/>
    <w:pPr>
      <w:widowControl/>
    </w:pPr>
    <w:rPr>
      <w:rFonts w:cs="宋体"/>
      <w:kern w:val="0"/>
      <w:szCs w:val="21"/>
    </w:rPr>
  </w:style>
  <w:style w:type="paragraph" w:customStyle="1" w:styleId="111">
    <w:name w:val="xl77"/>
    <w:basedOn w:val="1"/>
    <w:qFormat/>
    <w:uiPriority w:val="0"/>
    <w:pPr>
      <w:widowControl/>
      <w:shd w:val="clear" w:color="FFFFFF" w:fill="FFFFFF"/>
      <w:spacing w:before="100" w:beforeAutospacing="1" w:after="100" w:afterAutospacing="1"/>
      <w:jc w:val="center"/>
      <w:textAlignment w:val="center"/>
    </w:pPr>
    <w:rPr>
      <w:rFonts w:ascii="黑体" w:hAnsi="黑体" w:eastAsia="黑体" w:cs="宋体"/>
      <w:color w:val="000000"/>
      <w:kern w:val="0"/>
      <w:sz w:val="32"/>
      <w:szCs w:val="32"/>
    </w:rPr>
  </w:style>
  <w:style w:type="paragraph" w:customStyle="1" w:styleId="112">
    <w:name w:val="xl66"/>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113">
    <w:name w:val="xl72"/>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cs="宋体"/>
      <w:color w:val="000000"/>
      <w:kern w:val="0"/>
      <w:sz w:val="24"/>
      <w:szCs w:val="24"/>
    </w:rPr>
  </w:style>
  <w:style w:type="paragraph" w:customStyle="1" w:styleId="114">
    <w:name w:val="1"/>
    <w:basedOn w:val="1"/>
    <w:qFormat/>
    <w:uiPriority w:val="0"/>
    <w:rPr>
      <w:rFonts w:ascii="Times New Roman" w:hAnsi="Times New Roman"/>
      <w:szCs w:val="24"/>
    </w:rPr>
  </w:style>
  <w:style w:type="paragraph" w:customStyle="1" w:styleId="115">
    <w:name w:val="样式 标题 2 + Times New Roman 四号 非加粗 段前: 5 磅 段后: 0 磅 行距: 固定值 20..."/>
    <w:basedOn w:val="6"/>
    <w:qFormat/>
    <w:uiPriority w:val="0"/>
    <w:pPr>
      <w:keepLines/>
      <w:spacing w:before="100" w:line="400" w:lineRule="exact"/>
      <w:jc w:val="both"/>
    </w:pPr>
    <w:rPr>
      <w:rFonts w:ascii="Times New Roman" w:hAnsi="Times New Roman" w:eastAsia="黑体" w:cs="宋体"/>
      <w:b w:val="0"/>
      <w:bCs w:val="0"/>
      <w:kern w:val="2"/>
    </w:rPr>
  </w:style>
  <w:style w:type="paragraph" w:customStyle="1" w:styleId="116">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117">
    <w:name w:val="xl65"/>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118">
    <w:name w:val="xl73"/>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cs="宋体"/>
      <w:color w:val="000000"/>
      <w:kern w:val="0"/>
      <w:sz w:val="24"/>
      <w:szCs w:val="24"/>
    </w:rPr>
  </w:style>
  <w:style w:type="paragraph" w:customStyle="1" w:styleId="119">
    <w:name w:val="正文1"/>
    <w:basedOn w:val="1"/>
    <w:qFormat/>
    <w:uiPriority w:val="0"/>
    <w:pPr>
      <w:widowControl/>
      <w:ind w:left="992" w:hanging="425"/>
      <w:jc w:val="left"/>
    </w:pPr>
    <w:rPr>
      <w:kern w:val="0"/>
    </w:rPr>
  </w:style>
  <w:style w:type="paragraph" w:customStyle="1" w:styleId="120">
    <w:name w:val="表头"/>
    <w:basedOn w:val="1"/>
    <w:qFormat/>
    <w:uiPriority w:val="0"/>
    <w:pPr>
      <w:widowControl/>
      <w:spacing w:before="60" w:after="60"/>
      <w:jc w:val="center"/>
      <w:textAlignment w:val="baseline"/>
    </w:pPr>
    <w:rPr>
      <w:rFonts w:ascii="仿宋_GB2312" w:eastAsia="仿宋_GB2312"/>
      <w:kern w:val="0"/>
    </w:rPr>
  </w:style>
  <w:style w:type="paragraph" w:customStyle="1" w:styleId="121">
    <w:name w:val="标题 1_0"/>
    <w:basedOn w:val="122"/>
    <w:next w:val="122"/>
    <w:link w:val="123"/>
    <w:qFormat/>
    <w:uiPriority w:val="0"/>
    <w:pPr>
      <w:keepNext/>
      <w:keepLines/>
      <w:spacing w:before="340" w:after="330" w:line="576" w:lineRule="auto"/>
      <w:outlineLvl w:val="0"/>
    </w:pPr>
    <w:rPr>
      <w:rFonts w:eastAsia="黑体"/>
      <w:b/>
      <w:bCs/>
      <w:color w:val="003300"/>
      <w:kern w:val="44"/>
      <w:sz w:val="36"/>
      <w:szCs w:val="44"/>
    </w:rPr>
  </w:style>
  <w:style w:type="paragraph" w:customStyle="1" w:styleId="122">
    <w:name w:val="正文_0"/>
    <w:qFormat/>
    <w:uiPriority w:val="0"/>
    <w:pPr>
      <w:widowControl w:val="0"/>
      <w:jc w:val="both"/>
    </w:pPr>
    <w:rPr>
      <w:rFonts w:ascii="Calibri" w:hAnsi="Calibri" w:eastAsia="宋体" w:cs="Times New Roman"/>
      <w:kern w:val="2"/>
      <w:sz w:val="21"/>
      <w:szCs w:val="24"/>
      <w:lang w:val="en-US" w:eastAsia="zh-CN" w:bidi="ar-SA"/>
    </w:rPr>
  </w:style>
  <w:style w:type="character" w:customStyle="1" w:styleId="123">
    <w:name w:val="标题 1 字符"/>
    <w:link w:val="121"/>
    <w:qFormat/>
    <w:uiPriority w:val="0"/>
    <w:rPr>
      <w:rFonts w:ascii="Calibri" w:hAnsi="Calibri" w:eastAsia="黑体" w:cs="Times New Roman"/>
      <w:b/>
      <w:bCs/>
      <w:color w:val="003300"/>
      <w:kern w:val="44"/>
      <w:sz w:val="36"/>
      <w:szCs w:val="44"/>
    </w:rPr>
  </w:style>
  <w:style w:type="paragraph" w:customStyle="1" w:styleId="124">
    <w:name w:val="标题 2_0"/>
    <w:basedOn w:val="122"/>
    <w:next w:val="122"/>
    <w:link w:val="125"/>
    <w:qFormat/>
    <w:uiPriority w:val="0"/>
    <w:pPr>
      <w:keepNext/>
      <w:keepLines/>
      <w:spacing w:before="260" w:after="260" w:line="416" w:lineRule="auto"/>
      <w:outlineLvl w:val="1"/>
    </w:pPr>
    <w:rPr>
      <w:rFonts w:ascii="Cambria" w:hAnsi="Cambria" w:eastAsia="黑体"/>
      <w:b/>
      <w:bCs/>
      <w:color w:val="FF0000"/>
      <w:kern w:val="0"/>
      <w:sz w:val="30"/>
      <w:szCs w:val="32"/>
    </w:rPr>
  </w:style>
  <w:style w:type="character" w:customStyle="1" w:styleId="125">
    <w:name w:val="标题 2 字符"/>
    <w:link w:val="124"/>
    <w:qFormat/>
    <w:uiPriority w:val="0"/>
    <w:rPr>
      <w:rFonts w:ascii="Cambria" w:hAnsi="Cambria" w:eastAsia="黑体" w:cs="Times New Roman"/>
      <w:b/>
      <w:bCs/>
      <w:color w:val="FF0000"/>
      <w:sz w:val="30"/>
      <w:szCs w:val="32"/>
    </w:rPr>
  </w:style>
  <w:style w:type="paragraph" w:customStyle="1" w:styleId="126">
    <w:name w:val="标题 3_0"/>
    <w:basedOn w:val="122"/>
    <w:next w:val="122"/>
    <w:link w:val="127"/>
    <w:qFormat/>
    <w:uiPriority w:val="0"/>
    <w:pPr>
      <w:keepNext/>
      <w:keepLines/>
      <w:spacing w:line="400" w:lineRule="exact"/>
      <w:ind w:firstLine="454"/>
      <w:outlineLvl w:val="2"/>
    </w:pPr>
    <w:rPr>
      <w:b/>
      <w:kern w:val="0"/>
      <w:sz w:val="24"/>
      <w:szCs w:val="20"/>
    </w:rPr>
  </w:style>
  <w:style w:type="character" w:customStyle="1" w:styleId="127">
    <w:name w:val="标题 3 字符"/>
    <w:link w:val="126"/>
    <w:qFormat/>
    <w:uiPriority w:val="0"/>
    <w:rPr>
      <w:rFonts w:ascii="Calibri" w:hAnsi="Calibri" w:eastAsia="宋体" w:cs="Times New Roman"/>
      <w:b/>
      <w:sz w:val="24"/>
      <w:szCs w:val="20"/>
    </w:rPr>
  </w:style>
  <w:style w:type="paragraph" w:customStyle="1" w:styleId="128">
    <w:name w:val="正文缩进_0"/>
    <w:basedOn w:val="122"/>
    <w:qFormat/>
    <w:uiPriority w:val="0"/>
    <w:pPr>
      <w:ind w:firstLine="420" w:firstLineChars="200"/>
    </w:pPr>
  </w:style>
  <w:style w:type="paragraph" w:customStyle="1" w:styleId="129">
    <w:name w:val="p18"/>
    <w:basedOn w:val="122"/>
    <w:qFormat/>
    <w:uiPriority w:val="0"/>
    <w:pPr>
      <w:widowControl/>
    </w:pPr>
    <w:rPr>
      <w:rFonts w:ascii="宋体" w:hAnsi="宋体" w:cs="宋体"/>
      <w:kern w:val="0"/>
      <w:szCs w:val="21"/>
    </w:rPr>
  </w:style>
  <w:style w:type="paragraph" w:customStyle="1" w:styleId="130">
    <w:name w:val="样式9"/>
    <w:basedOn w:val="122"/>
    <w:qFormat/>
    <w:uiPriority w:val="0"/>
    <w:pPr>
      <w:spacing w:line="360" w:lineRule="auto"/>
      <w:ind w:firstLine="560" w:firstLineChars="200"/>
      <w:jc w:val="left"/>
    </w:pPr>
    <w:rPr>
      <w:rFonts w:ascii="宋体" w:hAnsi="宋体"/>
      <w:bCs/>
      <w:color w:val="000000"/>
      <w:sz w:val="28"/>
      <w:szCs w:val="28"/>
    </w:rPr>
  </w:style>
  <w:style w:type="paragraph" w:customStyle="1" w:styleId="131">
    <w:name w:val="p0_0"/>
    <w:basedOn w:val="122"/>
    <w:qFormat/>
    <w:uiPriority w:val="0"/>
    <w:pPr>
      <w:widowControl/>
    </w:pPr>
    <w:rPr>
      <w:kern w:val="0"/>
      <w:szCs w:val="21"/>
    </w:rPr>
  </w:style>
  <w:style w:type="paragraph" w:customStyle="1" w:styleId="132">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133">
    <w:name w:val="p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4">
    <w:name w:val="p2"/>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35">
    <w:name w:val="s1"/>
    <w:basedOn w:val="45"/>
    <w:qFormat/>
    <w:uiPriority w:val="0"/>
  </w:style>
  <w:style w:type="character" w:customStyle="1" w:styleId="136">
    <w:name w:val="正文缩进 Char"/>
    <w:link w:val="15"/>
    <w:qFormat/>
    <w:locked/>
    <w:uiPriority w:val="99"/>
    <w:rPr>
      <w:kern w:val="2"/>
      <w:sz w:val="21"/>
      <w:szCs w:val="24"/>
    </w:rPr>
  </w:style>
  <w:style w:type="character" w:customStyle="1" w:styleId="137">
    <w:name w:val="正文首行缩进 Char"/>
    <w:basedOn w:val="77"/>
    <w:link w:val="42"/>
    <w:semiHidden/>
    <w:qFormat/>
    <w:uiPriority w:val="99"/>
    <w:rPr>
      <w:rFonts w:ascii="Calibri" w:hAnsi="Calibri"/>
      <w:szCs w:val="22"/>
    </w:rPr>
  </w:style>
  <w:style w:type="character" w:customStyle="1" w:styleId="138">
    <w:name w:val="脚注文本 Char"/>
    <w:basedOn w:val="45"/>
    <w:link w:val="33"/>
    <w:qFormat/>
    <w:uiPriority w:val="0"/>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6D4ED13-09EC-4ED3-A1AF-275F9232AF8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43</Pages>
  <Words>23008</Words>
  <Characters>23923</Characters>
  <Lines>164</Lines>
  <Paragraphs>46</Paragraphs>
  <TotalTime>6</TotalTime>
  <ScaleCrop>false</ScaleCrop>
  <LinksUpToDate>false</LinksUpToDate>
  <CharactersWithSpaces>25548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2022-08-09T02:33:00Z</dcterms:created>
  <dc:creator>微软用户</dc:creator>
  <cp:lastModifiedBy>尘土</cp:lastModifiedBy>
  <cp:lastPrinted>2017-02-13T00:09:00Z</cp:lastPrinted>
  <dcterms:modified xsi:type="dcterms:W3CDTF">2022-11-02T10:22:12Z</dcterms:modified>
  <dc:title>Administrator</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11E55E4DE92C404DBB98CA3B72C2912D</vt:lpwstr>
  </property>
</Properties>
</file>