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b/>
          <w:kern w:val="0"/>
          <w:sz w:val="32"/>
          <w:szCs w:val="32"/>
        </w:rPr>
      </w:pPr>
      <w:r>
        <w:rPr>
          <w:rFonts w:hint="eastAsia" w:ascii="宋体" w:hAnsi="宋体" w:eastAsia="宋体"/>
          <w:b/>
          <w:color w:val="000000"/>
          <w:sz w:val="32"/>
          <w:szCs w:val="32"/>
        </w:rPr>
        <w:t>安徽相王医疗健康股份有限公司西区及本部DR机房</w:t>
      </w:r>
      <w:r>
        <w:rPr>
          <w:rFonts w:ascii="宋体" w:hAnsi="宋体" w:eastAsia="宋体"/>
          <w:b/>
          <w:sz w:val="32"/>
          <w:szCs w:val="32"/>
        </w:rPr>
        <w:t>放射性职业病危害</w:t>
      </w:r>
      <w:r>
        <w:rPr>
          <w:rFonts w:hint="eastAsia" w:ascii="宋体" w:hAnsi="宋体" w:eastAsia="宋体"/>
          <w:b/>
          <w:color w:val="000000"/>
          <w:sz w:val="32"/>
          <w:szCs w:val="32"/>
        </w:rPr>
        <w:t>预评价、控制效果评价技术服务采购项目</w:t>
      </w:r>
      <w:r>
        <w:rPr>
          <w:rFonts w:hint="eastAsia" w:ascii="宋体" w:hAnsi="宋体" w:cs="宋体"/>
          <w:b/>
          <w:bCs/>
          <w:sz w:val="32"/>
          <w:szCs w:val="32"/>
        </w:rPr>
        <w:t>比价函</w:t>
      </w:r>
    </w:p>
    <w:p>
      <w:pPr>
        <w:pStyle w:val="5"/>
        <w:tabs>
          <w:tab w:val="left" w:pos="420"/>
        </w:tabs>
        <w:adjustRightInd w:val="0"/>
        <w:snapToGrid w:val="0"/>
        <w:spacing w:before="156" w:beforeLines="50" w:after="62" w:afterLines="20" w:line="440" w:lineRule="exact"/>
        <w:jc w:val="center"/>
        <w:rPr>
          <w:rFonts w:ascii="宋体"/>
          <w:sz w:val="28"/>
          <w:szCs w:val="28"/>
        </w:rPr>
      </w:pPr>
      <w:bookmarkStart w:id="0" w:name="_一、投标须知前附表"/>
      <w:bookmarkEnd w:id="0"/>
      <w:r>
        <w:rPr>
          <w:rFonts w:hint="eastAsia" w:ascii="宋体" w:hAnsi="宋体"/>
          <w:sz w:val="28"/>
          <w:szCs w:val="28"/>
        </w:rPr>
        <w:t>一、投标须知前附表</w:t>
      </w:r>
    </w:p>
    <w:tbl>
      <w:tblPr>
        <w:tblStyle w:val="16"/>
        <w:tblW w:w="9917" w:type="dxa"/>
        <w:tblInd w:w="-7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1832"/>
        <w:gridCol w:w="72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内</w:t>
            </w:r>
            <w:r>
              <w:rPr>
                <w:rFonts w:cs="宋体"/>
                <w:sz w:val="28"/>
                <w:szCs w:val="28"/>
              </w:rPr>
              <w:t xml:space="preserve">    </w:t>
            </w:r>
            <w:r>
              <w:rPr>
                <w:rFonts w:hint="eastAsia" w:cs="宋体"/>
                <w:sz w:val="28"/>
                <w:szCs w:val="28"/>
              </w:rPr>
              <w:t>容</w:t>
            </w:r>
          </w:p>
        </w:tc>
        <w:tc>
          <w:tcPr>
            <w:tcW w:w="7218" w:type="dxa"/>
            <w:tcBorders>
              <w:top w:val="single" w:color="auto" w:sz="4" w:space="0"/>
              <w:left w:val="single" w:color="auto" w:sz="4" w:space="0"/>
              <w:bottom w:val="single" w:color="auto" w:sz="4" w:space="0"/>
            </w:tcBorders>
            <w:vAlign w:val="center"/>
          </w:tcPr>
          <w:p>
            <w:pPr>
              <w:tabs>
                <w:tab w:val="left" w:pos="1180"/>
              </w:tabs>
              <w:adjustRightInd w:val="0"/>
              <w:snapToGrid w:val="0"/>
              <w:spacing w:line="440" w:lineRule="exact"/>
              <w:jc w:val="left"/>
              <w:rPr>
                <w:rFonts w:ascii="宋体"/>
                <w:sz w:val="24"/>
              </w:rPr>
            </w:pPr>
            <w:r>
              <w:rPr>
                <w:rFonts w:hint="eastAsia" w:cs="宋体"/>
                <w:sz w:val="28"/>
                <w:szCs w:val="28"/>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7" w:hRule="exac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项目名称</w:t>
            </w:r>
          </w:p>
        </w:tc>
        <w:tc>
          <w:tcPr>
            <w:tcW w:w="7218" w:type="dxa"/>
            <w:tcBorders>
              <w:top w:val="single" w:color="auto" w:sz="4" w:space="0"/>
              <w:left w:val="single" w:color="auto" w:sz="4" w:space="0"/>
              <w:bottom w:val="single" w:color="auto" w:sz="4" w:space="0"/>
            </w:tcBorders>
            <w:vAlign w:val="center"/>
          </w:tcPr>
          <w:p>
            <w:pPr>
              <w:jc w:val="left"/>
              <w:rPr>
                <w:rFonts w:ascii="宋体" w:hAnsi="宋体" w:eastAsia="宋体" w:cs="宋体"/>
                <w:sz w:val="28"/>
                <w:szCs w:val="28"/>
              </w:rPr>
            </w:pPr>
            <w:r>
              <w:rPr>
                <w:rFonts w:hint="eastAsia" w:ascii="宋体" w:hAnsi="宋体" w:eastAsia="宋体"/>
                <w:color w:val="000000"/>
                <w:sz w:val="28"/>
                <w:szCs w:val="28"/>
              </w:rPr>
              <w:t>安徽相王医疗健康股份有限公司西区及本部DR机房</w:t>
            </w:r>
            <w:r>
              <w:rPr>
                <w:rFonts w:ascii="宋体" w:hAnsi="宋体" w:eastAsia="宋体"/>
                <w:sz w:val="28"/>
                <w:szCs w:val="28"/>
              </w:rPr>
              <w:t>放射性职业病危害</w:t>
            </w:r>
            <w:r>
              <w:rPr>
                <w:rFonts w:hint="eastAsia" w:ascii="宋体" w:hAnsi="宋体" w:eastAsia="宋体"/>
                <w:color w:val="000000"/>
                <w:sz w:val="28"/>
                <w:szCs w:val="28"/>
              </w:rPr>
              <w:t>预评价、控制效果评价技术服务采购项目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2</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项目地点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ascii="宋体" w:hAnsi="宋体" w:cs="宋体"/>
                <w:sz w:val="28"/>
                <w:szCs w:val="28"/>
              </w:rPr>
              <w:t>安徽相王医疗健康股份有限公司本部、西区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招标内容</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ascii="宋体" w:hAnsi="宋体" w:eastAsia="宋体"/>
                <w:color w:val="000000"/>
                <w:sz w:val="28"/>
                <w:szCs w:val="28"/>
              </w:rPr>
              <w:t>安徽相王医疗健康股份有限公司西区及本部DR机房</w:t>
            </w:r>
            <w:r>
              <w:rPr>
                <w:rFonts w:ascii="宋体" w:hAnsi="宋体" w:eastAsia="宋体"/>
                <w:sz w:val="28"/>
                <w:szCs w:val="28"/>
              </w:rPr>
              <w:t>放射性职业病危害</w:t>
            </w:r>
            <w:r>
              <w:rPr>
                <w:rFonts w:hint="eastAsia" w:ascii="宋体" w:hAnsi="宋体" w:eastAsia="宋体"/>
                <w:color w:val="000000"/>
                <w:sz w:val="28"/>
                <w:szCs w:val="28"/>
              </w:rPr>
              <w:t>预评价、控制效果评价技术服务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4</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合同期限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壹年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资金来源</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企业自筹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6</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控制价</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控制价24000元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1"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7</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供应商资格</w:t>
            </w:r>
          </w:p>
        </w:tc>
        <w:tc>
          <w:tcPr>
            <w:tcW w:w="7218" w:type="dxa"/>
            <w:tcBorders>
              <w:top w:val="single" w:color="auto" w:sz="4" w:space="0"/>
              <w:left w:val="single" w:color="auto" w:sz="4" w:space="0"/>
              <w:bottom w:val="single" w:color="auto" w:sz="4" w:space="0"/>
            </w:tcBorders>
            <w:vAlign w:val="center"/>
          </w:tcPr>
          <w:p>
            <w:pPr>
              <w:spacing w:line="500" w:lineRule="exact"/>
              <w:rPr>
                <w:rFonts w:ascii="宋体" w:hAnsi="宋体"/>
                <w:sz w:val="28"/>
                <w:szCs w:val="28"/>
              </w:rPr>
            </w:pPr>
            <w:r>
              <w:rPr>
                <w:rFonts w:hint="eastAsia" w:ascii="宋体" w:hAnsi="宋体"/>
                <w:sz w:val="28"/>
                <w:szCs w:val="28"/>
              </w:rPr>
              <w:t>1、供应商应具有独立法人资格和履行合同能力；</w:t>
            </w:r>
          </w:p>
          <w:p>
            <w:pPr>
              <w:spacing w:line="500" w:lineRule="exact"/>
              <w:rPr>
                <w:rFonts w:ascii="宋体" w:hAnsi="宋体"/>
                <w:sz w:val="28"/>
                <w:szCs w:val="28"/>
              </w:rPr>
            </w:pPr>
            <w:r>
              <w:rPr>
                <w:rFonts w:hint="eastAsia" w:ascii="宋体" w:hAnsi="宋体"/>
                <w:sz w:val="28"/>
                <w:szCs w:val="28"/>
              </w:rPr>
              <w:t>2、供应商应具备放射卫生技术服务机构资质证书；</w:t>
            </w:r>
          </w:p>
          <w:p>
            <w:pPr>
              <w:spacing w:line="500" w:lineRule="exact"/>
              <w:rPr>
                <w:rFonts w:cs="宋体"/>
                <w:sz w:val="28"/>
                <w:szCs w:val="28"/>
              </w:rPr>
            </w:pPr>
            <w:r>
              <w:rPr>
                <w:rFonts w:hint="eastAsia" w:ascii="宋体" w:hAnsi="宋体"/>
                <w:sz w:val="28"/>
                <w:szCs w:val="28"/>
              </w:rPr>
              <w:t>3、供应商应取得CMA资质认证</w:t>
            </w:r>
            <w:r>
              <w:rPr>
                <w:rFonts w:hint="eastAsia" w:ascii="宋体" w:hAnsi="宋体"/>
                <w:sz w:val="28"/>
                <w:szCs w:val="28"/>
                <w:lang w:eastAsia="zh-CN"/>
              </w:rPr>
              <w:t>或</w:t>
            </w:r>
            <w:r>
              <w:rPr>
                <w:rFonts w:hint="eastAsia" w:ascii="宋体" w:hAnsi="宋体"/>
                <w:sz w:val="28"/>
                <w:szCs w:val="28"/>
              </w:rPr>
              <w:t>CNAS体系认证。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8</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资格审查方式</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9</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响应文件份数</w:t>
            </w:r>
          </w:p>
        </w:tc>
        <w:tc>
          <w:tcPr>
            <w:tcW w:w="7218" w:type="dxa"/>
            <w:tcBorders>
              <w:top w:val="single" w:color="auto" w:sz="4" w:space="0"/>
              <w:left w:val="single" w:color="auto" w:sz="4" w:space="0"/>
              <w:bottom w:val="single" w:color="auto" w:sz="4" w:space="0"/>
            </w:tcBorders>
            <w:vAlign w:val="center"/>
          </w:tcPr>
          <w:p>
            <w:pPr>
              <w:pStyle w:val="36"/>
              <w:adjustRightInd w:val="0"/>
              <w:snapToGrid w:val="0"/>
              <w:spacing w:line="400" w:lineRule="exact"/>
              <w:ind w:firstLine="0" w:firstLineChars="0"/>
              <w:jc w:val="left"/>
              <w:rPr>
                <w:rFonts w:cs="宋体"/>
                <w:sz w:val="28"/>
                <w:szCs w:val="28"/>
              </w:rPr>
            </w:pPr>
            <w:r>
              <w:rPr>
                <w:rFonts w:hint="eastAsia" w:cs="宋体"/>
                <w:sz w:val="28"/>
                <w:szCs w:val="28"/>
              </w:rPr>
              <w:t>纸质版正本一份，副本2份。电子版一份（U盘、光盘均可），电子版与纸质版需完全一致。</w:t>
            </w:r>
            <w:r>
              <w:rPr>
                <w:rFonts w:hint="eastAsia" w:cs="宋体"/>
                <w:sz w:val="28"/>
                <w:szCs w:val="28"/>
                <w:lang w:eastAsia="zh-CN"/>
              </w:rPr>
              <w:t>投标文件分为资格标和商务标两部分，分开装订，分别用文件袋密封。在目录列明对应材料位置。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10</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响应文件递交方式及递交截止时间</w:t>
            </w:r>
          </w:p>
        </w:tc>
        <w:tc>
          <w:tcPr>
            <w:tcW w:w="7218" w:type="dxa"/>
            <w:tcBorders>
              <w:top w:val="single" w:color="auto" w:sz="4" w:space="0"/>
              <w:left w:val="single" w:color="auto" w:sz="4" w:space="0"/>
              <w:bottom w:val="single" w:color="auto" w:sz="4" w:space="0"/>
            </w:tcBorders>
            <w:vAlign w:val="center"/>
          </w:tcPr>
          <w:p>
            <w:pPr>
              <w:pStyle w:val="9"/>
              <w:widowControl/>
              <w:snapToGrid w:val="0"/>
              <w:spacing w:line="400" w:lineRule="exact"/>
              <w:rPr>
                <w:rFonts w:hint="eastAsia" w:eastAsia="宋体" w:cs="宋体"/>
                <w:kern w:val="2"/>
                <w:sz w:val="28"/>
                <w:szCs w:val="28"/>
                <w:lang w:eastAsia="zh-CN"/>
              </w:rPr>
            </w:pPr>
            <w:r>
              <w:rPr>
                <w:rFonts w:hint="eastAsia" w:cs="宋体"/>
                <w:kern w:val="2"/>
                <w:sz w:val="28"/>
                <w:szCs w:val="28"/>
                <w:lang w:eastAsia="zh-CN"/>
              </w:rPr>
              <w:t>见比价公告</w:t>
            </w:r>
          </w:p>
          <w:p>
            <w:pPr>
              <w:pStyle w:val="9"/>
              <w:widowControl/>
              <w:snapToGrid w:val="0"/>
              <w:spacing w:line="400" w:lineRule="exact"/>
              <w:rPr>
                <w:rFonts w:cs="宋体"/>
                <w:kern w:val="2"/>
                <w:sz w:val="28"/>
                <w:szCs w:val="28"/>
              </w:rPr>
            </w:pPr>
            <w:r>
              <w:rPr>
                <w:rFonts w:hint="eastAsia" w:cs="宋体"/>
                <w:kern w:val="2"/>
                <w:sz w:val="28"/>
                <w:szCs w:val="28"/>
              </w:rPr>
              <w:t>2022年</w:t>
            </w:r>
            <w:r>
              <w:rPr>
                <w:rFonts w:hint="eastAsia" w:ascii="Calibri" w:hAnsi="Calibri" w:cs="宋体"/>
                <w:color w:val="auto"/>
                <w:kern w:val="2"/>
                <w:sz w:val="28"/>
                <w:szCs w:val="28"/>
                <w:u w:val="none"/>
                <w:lang w:val="en-US" w:eastAsia="zh-CN"/>
              </w:rPr>
              <w:t>11</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24</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上午</w:t>
            </w:r>
            <w:r>
              <w:rPr>
                <w:rFonts w:hint="eastAsia" w:ascii="Calibri" w:hAnsi="Calibri" w:cs="宋体"/>
                <w:color w:val="auto"/>
                <w:kern w:val="2"/>
                <w:sz w:val="28"/>
                <w:szCs w:val="28"/>
                <w:u w:val="none"/>
                <w:lang w:val="en-US" w:eastAsia="zh-CN"/>
              </w:rPr>
              <w:t>9： 00</w:t>
            </w:r>
            <w:r>
              <w:rPr>
                <w:rFonts w:hint="eastAsia" w:ascii="Calibri" w:hAnsi="Calibri" w:eastAsia="宋体" w:cs="宋体"/>
                <w:color w:val="auto"/>
                <w:kern w:val="2"/>
                <w:sz w:val="28"/>
                <w:szCs w:val="28"/>
                <w:u w:val="none"/>
              </w:rPr>
              <w:t xml:space="preserve"> </w:t>
            </w:r>
            <w:r>
              <w:rPr>
                <w:rFonts w:hint="eastAsia" w:cs="宋体"/>
                <w:kern w:val="2"/>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cs="宋体"/>
                <w:sz w:val="28"/>
                <w:szCs w:val="28"/>
              </w:rPr>
            </w:pPr>
            <w:r>
              <w:rPr>
                <w:rFonts w:hint="eastAsia" w:cs="宋体"/>
                <w:sz w:val="28"/>
                <w:szCs w:val="28"/>
              </w:rPr>
              <w:t>11</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投标有效期</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default" w:cs="宋体"/>
                <w:sz w:val="28"/>
                <w:szCs w:val="28"/>
                <w:lang w:val="en-US"/>
              </w:rPr>
              <w:t>30</w:t>
            </w:r>
            <w:r>
              <w:rPr>
                <w:rFonts w:hint="eastAsia" w:cs="宋体"/>
                <w:sz w:val="28"/>
                <w:szCs w:val="28"/>
              </w:rPr>
              <w:t>日历天（从投标截止之日算起）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2</w:t>
            </w: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8" w:firstLineChars="3"/>
              <w:jc w:val="left"/>
              <w:rPr>
                <w:rFonts w:cs="宋体"/>
                <w:sz w:val="28"/>
                <w:szCs w:val="28"/>
              </w:rPr>
            </w:pPr>
            <w:r>
              <w:rPr>
                <w:rFonts w:hint="eastAsia" w:cs="宋体"/>
                <w:sz w:val="28"/>
                <w:szCs w:val="28"/>
              </w:rPr>
              <w:t>踏勘现场</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ind w:firstLine="8" w:firstLineChars="3"/>
              <w:jc w:val="left"/>
              <w:rPr>
                <w:rFonts w:cs="宋体"/>
                <w:sz w:val="28"/>
                <w:szCs w:val="28"/>
              </w:rPr>
            </w:pPr>
            <w:r>
              <w:rPr>
                <w:rFonts w:hint="eastAsia" w:cs="宋体"/>
                <w:sz w:val="28"/>
                <w:szCs w:val="28"/>
              </w:rPr>
              <w:t>招标人不组织集中现场踏勘，供应商可自行进行踏勘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3</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开标时间与地点</w:t>
            </w:r>
          </w:p>
        </w:tc>
        <w:tc>
          <w:tcPr>
            <w:tcW w:w="7218" w:type="dxa"/>
            <w:tcBorders>
              <w:top w:val="single" w:color="auto" w:sz="4" w:space="0"/>
              <w:left w:val="single" w:color="auto" w:sz="4" w:space="0"/>
              <w:bottom w:val="single" w:color="auto" w:sz="4" w:space="0"/>
            </w:tcBorders>
            <w:vAlign w:val="center"/>
          </w:tcPr>
          <w:p>
            <w:pPr>
              <w:pStyle w:val="9"/>
              <w:widowControl/>
              <w:snapToGrid w:val="0"/>
              <w:spacing w:line="400" w:lineRule="exact"/>
              <w:rPr>
                <w:rFonts w:cs="宋体"/>
                <w:kern w:val="2"/>
                <w:sz w:val="28"/>
                <w:szCs w:val="28"/>
              </w:rPr>
            </w:pPr>
            <w:r>
              <w:rPr>
                <w:rFonts w:hint="eastAsia" w:cs="宋体"/>
                <w:kern w:val="2"/>
                <w:sz w:val="28"/>
                <w:szCs w:val="28"/>
              </w:rPr>
              <w:t>2022年</w:t>
            </w:r>
            <w:r>
              <w:rPr>
                <w:rFonts w:hint="eastAsia" w:ascii="Calibri" w:hAnsi="Calibri" w:cs="宋体"/>
                <w:color w:val="auto"/>
                <w:kern w:val="2"/>
                <w:sz w:val="28"/>
                <w:szCs w:val="28"/>
                <w:u w:val="none"/>
                <w:lang w:val="en-US" w:eastAsia="zh-CN"/>
              </w:rPr>
              <w:t>11</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24</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上午</w:t>
            </w:r>
            <w:r>
              <w:rPr>
                <w:rFonts w:hint="eastAsia" w:ascii="Calibri" w:hAnsi="Calibri" w:cs="宋体"/>
                <w:color w:val="auto"/>
                <w:kern w:val="2"/>
                <w:sz w:val="28"/>
                <w:szCs w:val="28"/>
                <w:u w:val="none"/>
                <w:lang w:val="en-US" w:eastAsia="zh-CN"/>
              </w:rPr>
              <w:t>9： 00</w:t>
            </w:r>
            <w:r>
              <w:rPr>
                <w:rFonts w:hint="eastAsia" w:ascii="Calibri" w:hAnsi="Calibri" w:eastAsia="宋体" w:cs="宋体"/>
                <w:color w:val="auto"/>
                <w:kern w:val="2"/>
                <w:sz w:val="28"/>
                <w:szCs w:val="28"/>
                <w:u w:val="none"/>
              </w:rPr>
              <w:t xml:space="preserve"> </w:t>
            </w:r>
          </w:p>
          <w:p>
            <w:pPr>
              <w:pStyle w:val="9"/>
              <w:widowControl/>
              <w:snapToGrid w:val="0"/>
              <w:spacing w:line="400" w:lineRule="exact"/>
              <w:rPr>
                <w:rFonts w:cs="宋体"/>
                <w:kern w:val="2"/>
                <w:sz w:val="28"/>
                <w:szCs w:val="28"/>
              </w:rPr>
            </w:pPr>
            <w:r>
              <w:rPr>
                <w:rFonts w:hint="eastAsia" w:cs="宋体"/>
                <w:kern w:val="2"/>
                <w:sz w:val="28"/>
                <w:szCs w:val="28"/>
              </w:rPr>
              <w:t>安徽相王医疗健康股份有限公司7号楼2楼会议室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4</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中标服务费</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sz w:val="28"/>
                <w:szCs w:val="28"/>
              </w:rPr>
            </w:pPr>
            <w:r>
              <w:rPr>
                <w:rFonts w:hint="eastAsia" w:cs="宋体"/>
                <w:sz w:val="28"/>
                <w:szCs w:val="2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69"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5</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评标办法</w:t>
            </w:r>
          </w:p>
        </w:tc>
        <w:tc>
          <w:tcPr>
            <w:tcW w:w="7218" w:type="dxa"/>
            <w:tcBorders>
              <w:top w:val="single" w:color="auto" w:sz="4" w:space="0"/>
              <w:left w:val="single" w:color="auto" w:sz="4" w:space="0"/>
              <w:bottom w:val="single" w:color="auto" w:sz="4" w:space="0"/>
            </w:tcBorders>
            <w:vAlign w:val="center"/>
          </w:tcPr>
          <w:p>
            <w:pPr>
              <w:spacing w:line="400" w:lineRule="exact"/>
              <w:jc w:val="left"/>
              <w:rPr>
                <w:rFonts w:cs="宋体"/>
                <w:sz w:val="28"/>
                <w:szCs w:val="28"/>
              </w:rPr>
            </w:pPr>
            <w:r>
              <w:rPr>
                <w:rFonts w:hint="eastAsia" w:cs="宋体"/>
                <w:sz w:val="28"/>
                <w:szCs w:val="28"/>
              </w:rPr>
              <w:t>最低价评标法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6</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投标保证金</w:t>
            </w:r>
          </w:p>
        </w:tc>
        <w:tc>
          <w:tcPr>
            <w:tcW w:w="7218" w:type="dxa"/>
            <w:tcBorders>
              <w:top w:val="single" w:color="auto" w:sz="4" w:space="0"/>
              <w:left w:val="single" w:color="auto" w:sz="4" w:space="0"/>
              <w:bottom w:val="single" w:color="auto" w:sz="4" w:space="0"/>
            </w:tcBorders>
            <w:vAlign w:val="center"/>
          </w:tcPr>
          <w:p>
            <w:pPr>
              <w:snapToGrid w:val="0"/>
              <w:spacing w:line="360" w:lineRule="auto"/>
              <w:jc w:val="left"/>
              <w:rPr>
                <w:rFonts w:cs="宋体"/>
                <w:sz w:val="28"/>
                <w:szCs w:val="28"/>
              </w:rPr>
            </w:pPr>
            <w:r>
              <w:rPr>
                <w:rFonts w:hint="eastAsia" w:cs="宋体"/>
                <w:sz w:val="28"/>
                <w:szCs w:val="28"/>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5"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7</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履约保证金与合同签订时间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中标单位应于接到中标通知书后的7日内向采购人指定账户打入</w:t>
            </w:r>
            <w:r>
              <w:rPr>
                <w:rFonts w:hint="default" w:cs="宋体"/>
                <w:sz w:val="28"/>
                <w:szCs w:val="28"/>
                <w:lang w:val="en-US"/>
              </w:rPr>
              <w:t>1</w:t>
            </w:r>
            <w:r>
              <w:rPr>
                <w:rFonts w:hint="eastAsia" w:cs="宋体"/>
                <w:sz w:val="28"/>
                <w:szCs w:val="28"/>
              </w:rPr>
              <w:t>000元作为履约保证金</w:t>
            </w:r>
            <w:r>
              <w:rPr>
                <w:rFonts w:hint="eastAsia" w:cs="宋体"/>
                <w:sz w:val="28"/>
                <w:szCs w:val="28"/>
                <w:lang w:eastAsia="zh-CN"/>
              </w:rPr>
              <w:t>，在</w:t>
            </w:r>
            <w:r>
              <w:rPr>
                <w:rFonts w:hint="default" w:cs="宋体"/>
                <w:sz w:val="28"/>
                <w:szCs w:val="28"/>
                <w:lang w:val="en-US" w:eastAsia="zh-CN"/>
              </w:rPr>
              <w:t>10</w:t>
            </w:r>
            <w:r>
              <w:rPr>
                <w:rFonts w:hint="eastAsia" w:cs="宋体"/>
                <w:sz w:val="28"/>
                <w:szCs w:val="28"/>
                <w:lang w:val="en-US" w:eastAsia="zh-CN"/>
              </w:rPr>
              <w:t>日内与采购人签订合同与对应廉政合同。</w:t>
            </w:r>
          </w:p>
          <w:p>
            <w:pPr>
              <w:adjustRightInd w:val="0"/>
              <w:snapToGrid w:val="0"/>
              <w:spacing w:line="400" w:lineRule="exact"/>
              <w:jc w:val="left"/>
              <w:rPr>
                <w:rFonts w:ascii="宋体"/>
                <w:sz w:val="24"/>
              </w:rPr>
            </w:pPr>
            <w:r>
              <w:rPr>
                <w:rFonts w:hint="eastAsia" w:cs="宋体"/>
                <w:sz w:val="28"/>
                <w:szCs w:val="28"/>
              </w:rPr>
              <w:t>在合同未签订前，比价函与响应文件将构成约束双方的协议。若中标单位未在规定时间内缴纳履约保证金，并无正当理由的视为自动放弃中标资格。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1</w:t>
            </w:r>
            <w:r>
              <w:rPr>
                <w:rFonts w:hint="eastAsia" w:cs="宋体"/>
                <w:sz w:val="28"/>
                <w:szCs w:val="28"/>
                <w:lang w:val="en-US" w:eastAsia="zh-CN"/>
              </w:rPr>
              <w:t>8</w:t>
            </w:r>
          </w:p>
        </w:tc>
        <w:tc>
          <w:tcPr>
            <w:tcW w:w="18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left"/>
              <w:rPr>
                <w:rFonts w:cs="宋体"/>
                <w:sz w:val="28"/>
                <w:szCs w:val="28"/>
              </w:rPr>
            </w:pPr>
            <w:r>
              <w:rPr>
                <w:rFonts w:hint="eastAsia" w:cs="宋体"/>
                <w:color w:val="000000"/>
                <w:sz w:val="28"/>
                <w:szCs w:val="28"/>
              </w:rPr>
              <w:t>报名方式与报名截止时间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color w:val="000000"/>
                <w:sz w:val="28"/>
                <w:szCs w:val="28"/>
              </w:rPr>
              <w:t>采取网上报名，于2022年11月</w:t>
            </w:r>
            <w:r>
              <w:rPr>
                <w:rFonts w:hint="eastAsia" w:cs="宋体"/>
                <w:color w:val="000000"/>
                <w:sz w:val="28"/>
                <w:szCs w:val="28"/>
                <w:lang w:val="en-US" w:eastAsia="zh-CN"/>
              </w:rPr>
              <w:t>23</w:t>
            </w:r>
            <w:r>
              <w:rPr>
                <w:rFonts w:hint="eastAsia" w:cs="宋体"/>
                <w:color w:val="000000"/>
                <w:sz w:val="28"/>
                <w:szCs w:val="28"/>
              </w:rPr>
              <w:t>日下午17：00前，将投标单位的营业执照影印件、单位联系方式通过电子邮件形式发送至</w:t>
            </w:r>
            <w:r>
              <w:rPr>
                <w:rFonts w:hint="eastAsia" w:cs="宋体"/>
                <w:sz w:val="28"/>
                <w:szCs w:val="28"/>
              </w:rPr>
              <w:t>安徽相王医疗健康股份有限公司</w:t>
            </w:r>
            <w:r>
              <w:rPr>
                <w:rFonts w:hint="eastAsia" w:cs="宋体"/>
                <w:color w:val="000000"/>
                <w:sz w:val="28"/>
                <w:szCs w:val="28"/>
              </w:rPr>
              <w:t xml:space="preserve">招标办邮箱 </w:t>
            </w:r>
            <w:r>
              <w:rPr>
                <w:rFonts w:hint="default" w:cs="宋体"/>
                <w:color w:val="000000"/>
                <w:sz w:val="28"/>
                <w:szCs w:val="28"/>
                <w:lang w:val="en-US"/>
              </w:rPr>
              <w:t>xwjkzbcg@126.com</w:t>
            </w:r>
            <w:r>
              <w:rPr>
                <w:rFonts w:hint="eastAsia" w:cs="宋体"/>
                <w:color w:val="00000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default" w:eastAsia="宋体" w:cs="宋体"/>
                <w:sz w:val="28"/>
                <w:szCs w:val="28"/>
                <w:lang w:val="en-US" w:eastAsia="zh-CN"/>
              </w:rPr>
            </w:pPr>
            <w:r>
              <w:rPr>
                <w:rFonts w:hint="eastAsia" w:cs="宋体"/>
                <w:sz w:val="28"/>
                <w:szCs w:val="28"/>
                <w:lang w:val="en-US" w:eastAsia="zh-CN"/>
              </w:rPr>
              <w:t>19</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招标疑问提交时间和疑问答复时间</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sz w:val="24"/>
              </w:rPr>
            </w:pPr>
            <w:r>
              <w:rPr>
                <w:rFonts w:hint="eastAsia" w:cs="宋体"/>
                <w:sz w:val="28"/>
                <w:szCs w:val="28"/>
              </w:rPr>
              <w:t>任何要求澄清招标文件的供应商均应在</w:t>
            </w:r>
            <w:r>
              <w:rPr>
                <w:rFonts w:cs="宋体"/>
                <w:sz w:val="28"/>
                <w:szCs w:val="28"/>
              </w:rPr>
              <w:t>202</w:t>
            </w:r>
            <w:r>
              <w:rPr>
                <w:rFonts w:hint="eastAsia" w:cs="宋体"/>
                <w:sz w:val="28"/>
                <w:szCs w:val="28"/>
              </w:rPr>
              <w:t>2年11月</w:t>
            </w:r>
            <w:r>
              <w:rPr>
                <w:rFonts w:hint="eastAsia" w:cs="宋体"/>
                <w:sz w:val="28"/>
                <w:szCs w:val="28"/>
                <w:lang w:val="en-US" w:eastAsia="zh-CN"/>
              </w:rPr>
              <w:t>21</w:t>
            </w:r>
            <w:r>
              <w:rPr>
                <w:rFonts w:hint="eastAsia" w:cs="宋体"/>
                <w:sz w:val="28"/>
                <w:szCs w:val="28"/>
              </w:rPr>
              <w:t>日上午</w:t>
            </w:r>
            <w:r>
              <w:rPr>
                <w:rFonts w:cs="宋体"/>
                <w:sz w:val="28"/>
                <w:szCs w:val="28"/>
              </w:rPr>
              <w:t>11</w:t>
            </w:r>
            <w:r>
              <w:rPr>
                <w:rFonts w:hint="eastAsia" w:cs="宋体"/>
                <w:sz w:val="28"/>
                <w:szCs w:val="28"/>
              </w:rPr>
              <w:t>：</w:t>
            </w:r>
            <w:r>
              <w:rPr>
                <w:rFonts w:cs="宋体"/>
                <w:sz w:val="28"/>
                <w:szCs w:val="28"/>
              </w:rPr>
              <w:t xml:space="preserve">00 </w:t>
            </w:r>
            <w:r>
              <w:rPr>
                <w:rFonts w:hint="eastAsia" w:cs="宋体"/>
                <w:sz w:val="28"/>
                <w:szCs w:val="28"/>
              </w:rPr>
              <w:t>之前以不署名的电子邮件形式发送至安徽相王医疗健康股份有限公司招标办邮箱</w:t>
            </w:r>
            <w:r>
              <w:rPr>
                <w:rFonts w:hint="default" w:cs="宋体"/>
                <w:sz w:val="28"/>
                <w:szCs w:val="28"/>
                <w:lang w:val="en-US"/>
              </w:rPr>
              <w:t>xwjkzbcg@126.com</w:t>
            </w:r>
            <w:r>
              <w:rPr>
                <w:rFonts w:hint="eastAsia" w:cs="宋体"/>
                <w:sz w:val="28"/>
                <w:szCs w:val="28"/>
              </w:rPr>
              <w:t>采购人在2022年11月</w:t>
            </w:r>
            <w:r>
              <w:rPr>
                <w:rFonts w:hint="eastAsia" w:cs="宋体"/>
                <w:sz w:val="28"/>
                <w:szCs w:val="28"/>
                <w:lang w:val="en-US" w:eastAsia="zh-CN"/>
              </w:rPr>
              <w:t>22</w:t>
            </w:r>
            <w:bookmarkStart w:id="1" w:name="_GoBack"/>
            <w:bookmarkEnd w:id="1"/>
            <w:r>
              <w:rPr>
                <w:rFonts w:hint="eastAsia" w:cs="宋体"/>
                <w:sz w:val="28"/>
                <w:szCs w:val="28"/>
              </w:rPr>
              <w:t>日上午</w:t>
            </w:r>
            <w:r>
              <w:rPr>
                <w:rFonts w:cs="宋体"/>
                <w:sz w:val="28"/>
                <w:szCs w:val="28"/>
              </w:rPr>
              <w:t>11</w:t>
            </w:r>
            <w:r>
              <w:rPr>
                <w:rFonts w:hint="eastAsia" w:cs="宋体"/>
                <w:sz w:val="28"/>
                <w:szCs w:val="28"/>
              </w:rPr>
              <w:t>：</w:t>
            </w:r>
            <w:r>
              <w:rPr>
                <w:rFonts w:cs="宋体"/>
                <w:sz w:val="28"/>
                <w:szCs w:val="28"/>
              </w:rPr>
              <w:t xml:space="preserve">00 </w:t>
            </w:r>
            <w:r>
              <w:rPr>
                <w:rFonts w:hint="eastAsia" w:cs="宋体"/>
                <w:sz w:val="28"/>
                <w:szCs w:val="28"/>
              </w:rPr>
              <w:t>前在安徽皖北康复医院网站统一公告答疑。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67" w:type="dxa"/>
            <w:tcBorders>
              <w:top w:val="single" w:color="auto" w:sz="4" w:space="0"/>
              <w:bottom w:val="single" w:color="auto" w:sz="4" w:space="0"/>
              <w:right w:val="single" w:color="auto" w:sz="4" w:space="0"/>
            </w:tcBorders>
            <w:vAlign w:val="center"/>
          </w:tcPr>
          <w:p>
            <w:pPr>
              <w:snapToGrid w:val="0"/>
              <w:spacing w:line="360" w:lineRule="auto"/>
              <w:jc w:val="center"/>
              <w:rPr>
                <w:rFonts w:hint="eastAsia" w:eastAsia="宋体" w:cs="宋体"/>
                <w:sz w:val="28"/>
                <w:szCs w:val="28"/>
                <w:lang w:val="en-US" w:eastAsia="zh-CN"/>
              </w:rPr>
            </w:pPr>
            <w:r>
              <w:rPr>
                <w:rFonts w:hint="eastAsia" w:cs="宋体"/>
                <w:sz w:val="28"/>
                <w:szCs w:val="28"/>
              </w:rPr>
              <w:t>2</w:t>
            </w:r>
            <w:r>
              <w:rPr>
                <w:rFonts w:hint="eastAsia" w:cs="宋体"/>
                <w:sz w:val="28"/>
                <w:szCs w:val="28"/>
                <w:lang w:val="en-US" w:eastAsia="zh-CN"/>
              </w:rPr>
              <w:t>0</w:t>
            </w:r>
          </w:p>
        </w:tc>
        <w:tc>
          <w:tcPr>
            <w:tcW w:w="183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cs="宋体"/>
                <w:sz w:val="28"/>
                <w:szCs w:val="28"/>
              </w:rPr>
            </w:pPr>
            <w:r>
              <w:rPr>
                <w:rFonts w:hint="eastAsia" w:cs="宋体"/>
                <w:sz w:val="28"/>
                <w:szCs w:val="28"/>
              </w:rPr>
              <w:t>友情提醒</w:t>
            </w:r>
          </w:p>
        </w:tc>
        <w:tc>
          <w:tcPr>
            <w:tcW w:w="7218" w:type="dxa"/>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cs="宋体"/>
                <w:sz w:val="28"/>
                <w:szCs w:val="28"/>
              </w:rPr>
            </w:pPr>
            <w:r>
              <w:rPr>
                <w:rFonts w:hint="eastAsia" w:cs="宋体"/>
                <w:sz w:val="28"/>
                <w:szCs w:val="28"/>
              </w:rPr>
              <w:t>供应商请戴口罩，扫安康码进入招标人单位和开标场所</w:t>
            </w:r>
          </w:p>
        </w:tc>
      </w:tr>
    </w:tbl>
    <w:p/>
    <w:p>
      <w:pPr>
        <w:pStyle w:val="5"/>
        <w:adjustRightInd w:val="0"/>
        <w:snapToGrid w:val="0"/>
        <w:spacing w:before="62" w:beforeLines="20" w:after="62" w:afterLines="20" w:line="500" w:lineRule="exact"/>
        <w:jc w:val="center"/>
        <w:rPr>
          <w:rFonts w:ascii="宋体"/>
          <w:sz w:val="36"/>
          <w:szCs w:val="36"/>
        </w:rPr>
      </w:pPr>
      <w:r>
        <w:rPr>
          <w:rFonts w:hint="eastAsia" w:ascii="宋体" w:hAnsi="宋体"/>
          <w:sz w:val="36"/>
          <w:szCs w:val="36"/>
        </w:rPr>
        <w:t>二、</w:t>
      </w:r>
      <w:r>
        <w:rPr>
          <w:rFonts w:hint="eastAsia" w:ascii="宋体" w:hAnsi="宋体"/>
          <w:sz w:val="36"/>
          <w:szCs w:val="36"/>
          <w:lang w:eastAsia="zh-CN"/>
        </w:rPr>
        <w:t>供应商</w:t>
      </w:r>
      <w:r>
        <w:rPr>
          <w:rFonts w:hint="eastAsia" w:ascii="宋体" w:hAnsi="宋体"/>
          <w:sz w:val="36"/>
          <w:szCs w:val="36"/>
        </w:rPr>
        <w:t>须知</w:t>
      </w:r>
    </w:p>
    <w:p>
      <w:pPr>
        <w:snapToGrid w:val="0"/>
        <w:spacing w:line="360" w:lineRule="auto"/>
        <w:jc w:val="left"/>
        <w:rPr>
          <w:rFonts w:hint="eastAsia" w:ascii="华文仿宋" w:hAnsi="华文仿宋" w:cs="宋体"/>
          <w:b/>
          <w:bCs/>
          <w:sz w:val="28"/>
          <w:szCs w:val="28"/>
          <w:lang w:val="en-US" w:eastAsia="zh-CN"/>
        </w:rPr>
      </w:pP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lang w:val="en-US" w:eastAsia="zh-CN"/>
        </w:rPr>
        <w:t>1.项目</w:t>
      </w:r>
      <w:r>
        <w:rPr>
          <w:rFonts w:hint="eastAsia" w:ascii="华文仿宋" w:hAnsi="华文仿宋" w:cs="宋体"/>
          <w:b/>
          <w:bCs/>
          <w:sz w:val="28"/>
          <w:szCs w:val="28"/>
        </w:rPr>
        <w:t>概况</w:t>
      </w:r>
    </w:p>
    <w:p>
      <w:pPr>
        <w:snapToGrid w:val="0"/>
        <w:spacing w:line="360" w:lineRule="auto"/>
        <w:jc w:val="left"/>
        <w:rPr>
          <w:rFonts w:ascii="宋体" w:hAnsi="宋体"/>
          <w:sz w:val="28"/>
          <w:szCs w:val="28"/>
        </w:rPr>
      </w:pPr>
      <w:r>
        <w:rPr>
          <w:rFonts w:hint="eastAsia" w:ascii="宋体" w:hAnsi="宋体" w:eastAsia="宋体"/>
          <w:color w:val="000000"/>
          <w:sz w:val="28"/>
          <w:szCs w:val="28"/>
        </w:rPr>
        <w:t>安徽相王医疗健康股份有限公司</w:t>
      </w:r>
      <w:r>
        <w:rPr>
          <w:rFonts w:hint="eastAsia" w:ascii="宋体" w:hAnsi="宋体"/>
          <w:color w:val="000000"/>
          <w:sz w:val="28"/>
          <w:szCs w:val="28"/>
          <w:lang w:eastAsia="zh-CN"/>
        </w:rPr>
        <w:t>有本部和西区两个院区，分别位于</w:t>
      </w:r>
      <w:r>
        <w:rPr>
          <w:rFonts w:hint="eastAsia" w:ascii="宋体" w:hAnsi="宋体" w:eastAsia="宋体" w:cs="宋体"/>
          <w:b w:val="0"/>
          <w:bCs/>
          <w:color w:val="auto"/>
          <w:sz w:val="28"/>
          <w:szCs w:val="28"/>
          <w:u w:val="none" w:color="000000"/>
          <w:lang w:val="en-US" w:eastAsia="zh-CN" w:bidi="ar-SA"/>
        </w:rPr>
        <w:t>淮北市相山区相山北路3号、淮北市相山区孟山路1号，</w:t>
      </w:r>
      <w:r>
        <w:rPr>
          <w:rFonts w:hint="eastAsia" w:ascii="宋体" w:hAnsi="宋体"/>
          <w:color w:val="000000"/>
          <w:sz w:val="28"/>
          <w:szCs w:val="28"/>
          <w:lang w:eastAsia="zh-CN"/>
        </w:rPr>
        <w:t>现</w:t>
      </w:r>
      <w:r>
        <w:rPr>
          <w:rFonts w:hint="eastAsia" w:ascii="宋体" w:hAnsi="宋体" w:eastAsia="宋体"/>
          <w:color w:val="000000"/>
          <w:sz w:val="28"/>
          <w:szCs w:val="28"/>
        </w:rPr>
        <w:t>需</w:t>
      </w:r>
      <w:r>
        <w:rPr>
          <w:rFonts w:hint="eastAsia" w:ascii="宋体" w:hAnsi="宋体"/>
          <w:color w:val="000000"/>
          <w:sz w:val="28"/>
          <w:szCs w:val="28"/>
          <w:lang w:eastAsia="zh-CN"/>
        </w:rPr>
        <w:t>对</w:t>
      </w:r>
      <w:r>
        <w:rPr>
          <w:rFonts w:hint="eastAsia" w:ascii="宋体" w:hAnsi="宋体" w:eastAsia="宋体"/>
          <w:color w:val="000000"/>
          <w:sz w:val="28"/>
          <w:szCs w:val="28"/>
        </w:rPr>
        <w:t>本部及西区DR机房</w:t>
      </w:r>
      <w:r>
        <w:rPr>
          <w:rFonts w:ascii="宋体" w:hAnsi="宋体" w:eastAsia="宋体"/>
          <w:sz w:val="28"/>
          <w:szCs w:val="28"/>
        </w:rPr>
        <w:t>放射性职业病危害</w:t>
      </w:r>
      <w:r>
        <w:rPr>
          <w:rFonts w:hint="eastAsia" w:ascii="宋体" w:hAnsi="宋体" w:eastAsia="宋体"/>
          <w:color w:val="000000"/>
          <w:sz w:val="28"/>
          <w:szCs w:val="28"/>
        </w:rPr>
        <w:t>预评价、控制效果评价</w:t>
      </w:r>
      <w:r>
        <w:rPr>
          <w:rFonts w:hint="eastAsia" w:ascii="宋体" w:hAnsi="宋体"/>
          <w:color w:val="000000"/>
          <w:sz w:val="28"/>
          <w:szCs w:val="28"/>
          <w:lang w:eastAsia="zh-CN"/>
        </w:rPr>
        <w:t>进行</w:t>
      </w:r>
      <w:r>
        <w:rPr>
          <w:rFonts w:hint="eastAsia" w:ascii="宋体" w:hAnsi="宋体" w:eastAsia="宋体"/>
          <w:color w:val="000000"/>
          <w:sz w:val="28"/>
          <w:szCs w:val="28"/>
        </w:rPr>
        <w:t>技术服务采购</w:t>
      </w:r>
      <w:r>
        <w:rPr>
          <w:rFonts w:hint="eastAsia" w:ascii="宋体" w:hAnsi="宋体"/>
          <w:sz w:val="28"/>
          <w:szCs w:val="28"/>
        </w:rPr>
        <w:t>。</w:t>
      </w:r>
    </w:p>
    <w:p>
      <w:pPr>
        <w:numPr>
          <w:ilvl w:val="0"/>
          <w:numId w:val="1"/>
        </w:numPr>
        <w:snapToGrid w:val="0"/>
        <w:spacing w:line="460" w:lineRule="exact"/>
        <w:rPr>
          <w:rFonts w:hint="eastAsia" w:ascii="宋体" w:hAnsi="宋体" w:eastAsia="宋体" w:cs="宋体"/>
          <w:b/>
          <w:bCs w:val="0"/>
          <w:color w:val="auto"/>
          <w:sz w:val="28"/>
          <w:szCs w:val="28"/>
          <w:u w:val="none" w:color="000000"/>
          <w:lang w:val="en-US" w:eastAsia="zh-CN" w:bidi="ar-SA"/>
        </w:rPr>
      </w:pPr>
      <w:r>
        <w:rPr>
          <w:rFonts w:hint="eastAsia" w:ascii="宋体" w:hAnsi="宋体" w:cs="宋体"/>
          <w:b/>
          <w:bCs w:val="0"/>
          <w:color w:val="auto"/>
          <w:sz w:val="28"/>
          <w:szCs w:val="28"/>
          <w:u w:val="none" w:color="000000"/>
          <w:lang w:val="en-US" w:eastAsia="zh-Hans" w:bidi="ar-SA"/>
        </w:rPr>
        <w:t>采购</w:t>
      </w:r>
      <w:r>
        <w:rPr>
          <w:rFonts w:hint="eastAsia" w:ascii="宋体" w:hAnsi="宋体" w:eastAsia="宋体" w:cs="宋体"/>
          <w:b/>
          <w:bCs w:val="0"/>
          <w:color w:val="auto"/>
          <w:sz w:val="28"/>
          <w:szCs w:val="28"/>
          <w:u w:val="none" w:color="000000"/>
          <w:lang w:val="en-US" w:eastAsia="zh-CN" w:bidi="ar-SA"/>
        </w:rPr>
        <w:t>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3090"/>
        <w:gridCol w:w="1695"/>
        <w:gridCol w:w="2290"/>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pStyle w:val="2"/>
              <w:numPr>
                <w:ilvl w:val="0"/>
                <w:numId w:val="0"/>
              </w:numPr>
              <w:rPr>
                <w:rFonts w:hint="eastAsia"/>
                <w:sz w:val="28"/>
                <w:szCs w:val="28"/>
                <w:vertAlign w:val="baseline"/>
                <w:lang w:val="en-US" w:eastAsia="zh-CN"/>
              </w:rPr>
            </w:pPr>
            <w:r>
              <w:rPr>
                <w:rFonts w:hint="eastAsia"/>
                <w:sz w:val="28"/>
                <w:szCs w:val="28"/>
                <w:vertAlign w:val="baseline"/>
                <w:lang w:val="en-US" w:eastAsia="zh-CN"/>
              </w:rPr>
              <w:t>序号</w:t>
            </w:r>
          </w:p>
        </w:tc>
        <w:tc>
          <w:tcPr>
            <w:tcW w:w="3090" w:type="dxa"/>
          </w:tcPr>
          <w:p>
            <w:pPr>
              <w:pStyle w:val="2"/>
              <w:numPr>
                <w:ilvl w:val="0"/>
                <w:numId w:val="0"/>
              </w:numPr>
              <w:rPr>
                <w:rFonts w:hint="eastAsia"/>
                <w:sz w:val="28"/>
                <w:szCs w:val="28"/>
                <w:vertAlign w:val="baseline"/>
                <w:lang w:val="en-US" w:eastAsia="zh-CN"/>
              </w:rPr>
            </w:pPr>
            <w:r>
              <w:rPr>
                <w:rFonts w:hint="eastAsia"/>
                <w:sz w:val="28"/>
                <w:szCs w:val="28"/>
                <w:vertAlign w:val="baseline"/>
                <w:lang w:val="en-US" w:eastAsia="zh-CN"/>
              </w:rPr>
              <w:t>项目内容</w:t>
            </w:r>
          </w:p>
        </w:tc>
        <w:tc>
          <w:tcPr>
            <w:tcW w:w="1695" w:type="dxa"/>
          </w:tcPr>
          <w:p>
            <w:pPr>
              <w:pStyle w:val="2"/>
              <w:numPr>
                <w:ilvl w:val="0"/>
                <w:numId w:val="0"/>
              </w:numPr>
              <w:rPr>
                <w:rFonts w:hint="eastAsia"/>
                <w:sz w:val="28"/>
                <w:szCs w:val="28"/>
                <w:vertAlign w:val="baseline"/>
                <w:lang w:val="en-US" w:eastAsia="zh-CN"/>
              </w:rPr>
            </w:pPr>
            <w:r>
              <w:rPr>
                <w:rFonts w:hint="eastAsia"/>
                <w:sz w:val="28"/>
                <w:szCs w:val="28"/>
                <w:vertAlign w:val="baseline"/>
                <w:lang w:val="en-US" w:eastAsia="zh-CN"/>
              </w:rPr>
              <w:t>位置</w:t>
            </w:r>
          </w:p>
        </w:tc>
        <w:tc>
          <w:tcPr>
            <w:tcW w:w="2290" w:type="dxa"/>
          </w:tcPr>
          <w:p>
            <w:pPr>
              <w:pStyle w:val="2"/>
              <w:numPr>
                <w:ilvl w:val="0"/>
                <w:numId w:val="0"/>
              </w:numPr>
              <w:rPr>
                <w:rFonts w:hint="eastAsia" w:eastAsia="宋体"/>
                <w:sz w:val="28"/>
                <w:szCs w:val="28"/>
                <w:vertAlign w:val="baseline"/>
                <w:lang w:val="en-US" w:eastAsia="zh-CN"/>
              </w:rPr>
            </w:pPr>
            <w:r>
              <w:rPr>
                <w:rFonts w:hint="eastAsia"/>
                <w:sz w:val="28"/>
                <w:szCs w:val="28"/>
                <w:vertAlign w:val="baseline"/>
                <w:lang w:val="en-US" w:eastAsia="zh-CN"/>
              </w:rPr>
              <w:t>响应单价（元）</w:t>
            </w:r>
          </w:p>
        </w:tc>
        <w:tc>
          <w:tcPr>
            <w:tcW w:w="1993" w:type="dxa"/>
          </w:tcPr>
          <w:p>
            <w:pPr>
              <w:pStyle w:val="2"/>
              <w:numPr>
                <w:ilvl w:val="0"/>
                <w:numId w:val="0"/>
              </w:numPr>
              <w:rPr>
                <w:rFonts w:hint="eastAsia"/>
                <w:sz w:val="28"/>
                <w:szCs w:val="28"/>
                <w:vertAlign w:val="baseline"/>
                <w:lang w:val="en-US" w:eastAsia="zh-CN"/>
              </w:rPr>
            </w:pPr>
            <w:r>
              <w:rPr>
                <w:rFonts w:hint="eastAsia"/>
                <w:sz w:val="28"/>
                <w:szCs w:val="28"/>
                <w:vertAlign w:val="baseline"/>
                <w:lang w:val="en-US" w:eastAsia="zh-CN"/>
              </w:rPr>
              <w:t>响应合价（元）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94" w:type="dxa"/>
            <w:vMerge w:val="restart"/>
          </w:tcPr>
          <w:p>
            <w:pPr>
              <w:pStyle w:val="2"/>
              <w:numPr>
                <w:ilvl w:val="0"/>
                <w:numId w:val="0"/>
              </w:numPr>
              <w:rPr>
                <w:rFonts w:hint="default"/>
                <w:sz w:val="28"/>
                <w:szCs w:val="28"/>
                <w:vertAlign w:val="baseline"/>
                <w:lang w:val="en-US" w:eastAsia="zh-CN"/>
              </w:rPr>
            </w:pPr>
            <w:r>
              <w:rPr>
                <w:rFonts w:hint="eastAsia"/>
                <w:sz w:val="28"/>
                <w:szCs w:val="28"/>
                <w:vertAlign w:val="baseline"/>
                <w:lang w:val="en-US" w:eastAsia="zh-CN"/>
              </w:rPr>
              <w:t>1</w:t>
            </w:r>
          </w:p>
        </w:tc>
        <w:tc>
          <w:tcPr>
            <w:tcW w:w="3090" w:type="dxa"/>
            <w:vMerge w:val="restart"/>
          </w:tcPr>
          <w:p>
            <w:pPr>
              <w:pStyle w:val="2"/>
              <w:numPr>
                <w:ilvl w:val="0"/>
                <w:numId w:val="0"/>
              </w:numPr>
              <w:rPr>
                <w:rFonts w:hint="eastAsia"/>
                <w:sz w:val="28"/>
                <w:szCs w:val="28"/>
                <w:vertAlign w:val="baseline"/>
                <w:lang w:val="en-US" w:eastAsia="zh-CN"/>
              </w:rPr>
            </w:pPr>
            <w:r>
              <w:rPr>
                <w:rFonts w:hint="eastAsia" w:ascii="宋体" w:hAnsi="宋体" w:eastAsia="宋体"/>
                <w:color w:val="000000"/>
                <w:sz w:val="28"/>
                <w:szCs w:val="28"/>
              </w:rPr>
              <w:t>DR机房</w:t>
            </w:r>
            <w:r>
              <w:rPr>
                <w:rFonts w:ascii="宋体" w:hAnsi="宋体" w:eastAsia="宋体"/>
                <w:sz w:val="28"/>
                <w:szCs w:val="28"/>
              </w:rPr>
              <w:t>放射性职业病危害</w:t>
            </w:r>
            <w:r>
              <w:rPr>
                <w:rFonts w:hint="eastAsia" w:ascii="宋体" w:hAnsi="宋体" w:eastAsia="宋体"/>
                <w:color w:val="000000"/>
                <w:sz w:val="28"/>
                <w:szCs w:val="28"/>
              </w:rPr>
              <w:t>预评价、控制效果评价</w:t>
            </w:r>
          </w:p>
        </w:tc>
        <w:tc>
          <w:tcPr>
            <w:tcW w:w="1695" w:type="dxa"/>
          </w:tcPr>
          <w:p>
            <w:pPr>
              <w:pStyle w:val="2"/>
              <w:numPr>
                <w:ilvl w:val="0"/>
                <w:numId w:val="0"/>
              </w:numPr>
              <w:rPr>
                <w:rFonts w:hint="eastAsia"/>
                <w:sz w:val="28"/>
                <w:szCs w:val="28"/>
                <w:vertAlign w:val="baseline"/>
                <w:lang w:val="en-US" w:eastAsia="zh-CN"/>
              </w:rPr>
            </w:pPr>
            <w:r>
              <w:rPr>
                <w:rFonts w:hint="eastAsia"/>
                <w:sz w:val="28"/>
                <w:szCs w:val="28"/>
                <w:vertAlign w:val="baseline"/>
                <w:lang w:val="en-US" w:eastAsia="zh-CN"/>
              </w:rPr>
              <w:t>本部</w:t>
            </w:r>
          </w:p>
        </w:tc>
        <w:tc>
          <w:tcPr>
            <w:tcW w:w="2290" w:type="dxa"/>
          </w:tcPr>
          <w:p>
            <w:pPr>
              <w:pStyle w:val="2"/>
              <w:numPr>
                <w:ilvl w:val="0"/>
                <w:numId w:val="0"/>
              </w:numPr>
              <w:rPr>
                <w:rFonts w:hint="eastAsia"/>
                <w:sz w:val="28"/>
                <w:szCs w:val="28"/>
                <w:vertAlign w:val="baseline"/>
                <w:lang w:val="en-US" w:eastAsia="zh-CN"/>
              </w:rPr>
            </w:pPr>
          </w:p>
        </w:tc>
        <w:tc>
          <w:tcPr>
            <w:tcW w:w="1993" w:type="dxa"/>
          </w:tcPr>
          <w:p>
            <w:pPr>
              <w:pStyle w:val="2"/>
              <w:numPr>
                <w:ilvl w:val="0"/>
                <w:numId w:val="0"/>
              </w:numP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94" w:type="dxa"/>
            <w:vMerge w:val="continue"/>
          </w:tcPr>
          <w:p>
            <w:pPr>
              <w:pStyle w:val="2"/>
              <w:numPr>
                <w:ilvl w:val="0"/>
                <w:numId w:val="0"/>
              </w:numPr>
              <w:rPr>
                <w:rFonts w:hint="eastAsia"/>
                <w:sz w:val="28"/>
                <w:szCs w:val="28"/>
                <w:vertAlign w:val="baseline"/>
                <w:lang w:val="en-US" w:eastAsia="zh-CN"/>
              </w:rPr>
            </w:pPr>
          </w:p>
        </w:tc>
        <w:tc>
          <w:tcPr>
            <w:tcW w:w="3090" w:type="dxa"/>
            <w:vMerge w:val="continue"/>
          </w:tcPr>
          <w:p>
            <w:pPr>
              <w:pStyle w:val="2"/>
              <w:numPr>
                <w:ilvl w:val="0"/>
                <w:numId w:val="0"/>
              </w:numPr>
              <w:rPr>
                <w:rFonts w:hint="eastAsia" w:ascii="宋体" w:hAnsi="宋体" w:eastAsia="宋体"/>
                <w:color w:val="000000"/>
                <w:sz w:val="28"/>
                <w:szCs w:val="28"/>
              </w:rPr>
            </w:pPr>
          </w:p>
        </w:tc>
        <w:tc>
          <w:tcPr>
            <w:tcW w:w="1695" w:type="dxa"/>
          </w:tcPr>
          <w:p>
            <w:pPr>
              <w:pStyle w:val="2"/>
              <w:numPr>
                <w:ilvl w:val="0"/>
                <w:numId w:val="0"/>
              </w:numPr>
              <w:rPr>
                <w:rFonts w:hint="eastAsia"/>
                <w:sz w:val="28"/>
                <w:szCs w:val="28"/>
                <w:vertAlign w:val="baseline"/>
                <w:lang w:val="en-US" w:eastAsia="zh-CN"/>
              </w:rPr>
            </w:pPr>
            <w:r>
              <w:rPr>
                <w:rFonts w:hint="eastAsia"/>
                <w:sz w:val="28"/>
                <w:szCs w:val="28"/>
                <w:vertAlign w:val="baseline"/>
                <w:lang w:val="en-US" w:eastAsia="zh-CN"/>
              </w:rPr>
              <w:t>西区</w:t>
            </w:r>
          </w:p>
        </w:tc>
        <w:tc>
          <w:tcPr>
            <w:tcW w:w="2290" w:type="dxa"/>
          </w:tcPr>
          <w:p>
            <w:pPr>
              <w:pStyle w:val="2"/>
              <w:numPr>
                <w:ilvl w:val="0"/>
                <w:numId w:val="0"/>
              </w:numPr>
              <w:rPr>
                <w:rFonts w:hint="eastAsia"/>
                <w:sz w:val="28"/>
                <w:szCs w:val="28"/>
                <w:vertAlign w:val="baseline"/>
                <w:lang w:val="en-US" w:eastAsia="zh-CN"/>
              </w:rPr>
            </w:pPr>
          </w:p>
        </w:tc>
        <w:tc>
          <w:tcPr>
            <w:tcW w:w="1993" w:type="dxa"/>
          </w:tcPr>
          <w:p>
            <w:pPr>
              <w:pStyle w:val="2"/>
              <w:numPr>
                <w:ilvl w:val="0"/>
                <w:numId w:val="0"/>
              </w:numPr>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pStyle w:val="2"/>
              <w:numPr>
                <w:ilvl w:val="0"/>
                <w:numId w:val="0"/>
              </w:numPr>
              <w:rPr>
                <w:rFonts w:hint="default"/>
                <w:sz w:val="28"/>
                <w:szCs w:val="28"/>
                <w:vertAlign w:val="baseline"/>
                <w:lang w:val="en-US" w:eastAsia="zh-CN"/>
              </w:rPr>
            </w:pPr>
          </w:p>
        </w:tc>
        <w:tc>
          <w:tcPr>
            <w:tcW w:w="3090" w:type="dxa"/>
          </w:tcPr>
          <w:p>
            <w:pPr>
              <w:pStyle w:val="2"/>
              <w:numPr>
                <w:ilvl w:val="0"/>
                <w:numId w:val="0"/>
              </w:numPr>
              <w:rPr>
                <w:rFonts w:hint="eastAsia"/>
                <w:sz w:val="28"/>
                <w:szCs w:val="28"/>
                <w:vertAlign w:val="baseline"/>
                <w:lang w:val="en-US" w:eastAsia="zh-CN"/>
              </w:rPr>
            </w:pPr>
          </w:p>
        </w:tc>
        <w:tc>
          <w:tcPr>
            <w:tcW w:w="1695" w:type="dxa"/>
          </w:tcPr>
          <w:p>
            <w:pPr>
              <w:pStyle w:val="2"/>
              <w:numPr>
                <w:ilvl w:val="0"/>
                <w:numId w:val="0"/>
              </w:numPr>
              <w:rPr>
                <w:rFonts w:hint="eastAsia"/>
                <w:sz w:val="28"/>
                <w:szCs w:val="28"/>
                <w:vertAlign w:val="baseline"/>
                <w:lang w:val="en-US" w:eastAsia="zh-CN"/>
              </w:rPr>
            </w:pPr>
          </w:p>
        </w:tc>
        <w:tc>
          <w:tcPr>
            <w:tcW w:w="2290" w:type="dxa"/>
          </w:tcPr>
          <w:p>
            <w:pPr>
              <w:pStyle w:val="2"/>
              <w:numPr>
                <w:ilvl w:val="0"/>
                <w:numId w:val="0"/>
              </w:numPr>
              <w:rPr>
                <w:rFonts w:hint="eastAsia"/>
                <w:sz w:val="28"/>
                <w:szCs w:val="28"/>
                <w:vertAlign w:val="baseline"/>
                <w:lang w:val="en-US" w:eastAsia="zh-CN"/>
              </w:rPr>
            </w:pPr>
          </w:p>
        </w:tc>
        <w:tc>
          <w:tcPr>
            <w:tcW w:w="1993" w:type="dxa"/>
          </w:tcPr>
          <w:p>
            <w:pPr>
              <w:pStyle w:val="2"/>
              <w:numPr>
                <w:ilvl w:val="0"/>
                <w:numId w:val="0"/>
              </w:numPr>
              <w:rPr>
                <w:rFonts w:hint="eastAsia"/>
                <w:sz w:val="28"/>
                <w:szCs w:val="28"/>
                <w:vertAlign w:val="baseline"/>
                <w:lang w:val="en-US" w:eastAsia="zh-CN"/>
              </w:rPr>
            </w:pPr>
          </w:p>
        </w:tc>
      </w:tr>
    </w:tbl>
    <w:p>
      <w:pPr>
        <w:pStyle w:val="2"/>
        <w:numPr>
          <w:ilvl w:val="0"/>
          <w:numId w:val="0"/>
        </w:numPr>
        <w:ind w:leftChars="200"/>
        <w:rPr>
          <w:rFonts w:hint="eastAsia"/>
          <w:lang w:val="en-US" w:eastAsia="zh-CN"/>
        </w:rPr>
      </w:pPr>
    </w:p>
    <w:p>
      <w:pPr>
        <w:pStyle w:val="2"/>
        <w:numPr>
          <w:ilvl w:val="0"/>
          <w:numId w:val="0"/>
        </w:numPr>
        <w:ind w:leftChars="200"/>
        <w:rPr>
          <w:rFonts w:hint="eastAsia"/>
          <w:lang w:val="en-US" w:eastAsia="zh-CN"/>
        </w:rPr>
      </w:pPr>
    </w:p>
    <w:p>
      <w:pPr>
        <w:numPr>
          <w:ilvl w:val="0"/>
          <w:numId w:val="0"/>
        </w:numPr>
        <w:snapToGrid w:val="0"/>
        <w:spacing w:line="460" w:lineRule="exact"/>
        <w:rPr>
          <w:rFonts w:hint="eastAsia" w:ascii="Calibri" w:hAnsi="Calibri" w:eastAsia="宋体" w:cs="宋体"/>
          <w:b/>
          <w:bCs/>
          <w:color w:val="auto"/>
          <w:kern w:val="2"/>
          <w:sz w:val="28"/>
          <w:szCs w:val="28"/>
          <w:u w:val="none" w:color="000000"/>
          <w:lang w:val="en-US" w:eastAsia="zh-CN" w:bidi="ar-SA"/>
        </w:rPr>
      </w:pPr>
      <w:r>
        <w:rPr>
          <w:rFonts w:hint="eastAsia" w:ascii="Calibri" w:hAnsi="Calibri" w:eastAsia="宋体" w:cs="宋体"/>
          <w:b/>
          <w:bCs/>
          <w:color w:val="auto"/>
          <w:kern w:val="2"/>
          <w:sz w:val="28"/>
          <w:szCs w:val="28"/>
          <w:u w:val="none" w:color="000000"/>
          <w:lang w:val="en-US" w:eastAsia="zh-CN" w:bidi="ar-SA"/>
        </w:rPr>
        <w:t>3.报价要求</w:t>
      </w:r>
    </w:p>
    <w:p>
      <w:pPr>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报价采用固定价格方式，所有项目的报价均包含了</w:t>
      </w:r>
      <w:r>
        <w:rPr>
          <w:rFonts w:hint="default" w:ascii="宋体" w:hAnsi="宋体" w:cs="宋体"/>
          <w:color w:val="auto"/>
          <w:sz w:val="28"/>
          <w:szCs w:val="28"/>
        </w:rPr>
        <w:t>供应商</w:t>
      </w:r>
      <w:r>
        <w:rPr>
          <w:rFonts w:hint="eastAsia" w:ascii="宋体" w:hAnsi="宋体" w:eastAsia="宋体" w:cs="宋体"/>
          <w:color w:val="auto"/>
          <w:sz w:val="28"/>
          <w:szCs w:val="28"/>
        </w:rPr>
        <w:t>为完成该项内容的全部投入（包含税、费）和收益，即</w:t>
      </w:r>
      <w:r>
        <w:rPr>
          <w:rFonts w:hint="default" w:ascii="宋体" w:hAnsi="宋体" w:cs="宋体"/>
          <w:color w:val="auto"/>
          <w:sz w:val="28"/>
          <w:szCs w:val="28"/>
        </w:rPr>
        <w:t>采购人</w:t>
      </w:r>
      <w:r>
        <w:rPr>
          <w:rFonts w:hint="eastAsia" w:ascii="宋体" w:hAnsi="宋体" w:eastAsia="宋体" w:cs="宋体"/>
          <w:color w:val="auto"/>
          <w:sz w:val="28"/>
          <w:szCs w:val="28"/>
        </w:rPr>
        <w:t>应该支付的购买价格。</w:t>
      </w:r>
    </w:p>
    <w:p>
      <w:pPr>
        <w:spacing w:line="460" w:lineRule="exact"/>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4.报价函内容</w:t>
      </w:r>
    </w:p>
    <w:p>
      <w:pPr>
        <w:pStyle w:val="2"/>
        <w:ind w:left="0" w:leftChars="0" w:firstLine="0" w:firstLineChars="0"/>
        <w:rPr>
          <w:rFonts w:hint="eastAsia" w:ascii="宋体" w:hAnsi="宋体" w:eastAsia="宋体" w:cs="宋体"/>
          <w:color w:val="auto"/>
          <w:sz w:val="28"/>
          <w:szCs w:val="28"/>
          <w:u w:val="none" w:color="000000"/>
          <w:lang w:val="en-US" w:eastAsia="zh-CN" w:bidi="ar-SA"/>
        </w:rPr>
      </w:pPr>
      <w:r>
        <w:rPr>
          <w:rFonts w:hint="eastAsia"/>
          <w:color w:val="auto"/>
          <w:sz w:val="28"/>
          <w:szCs w:val="28"/>
          <w:lang w:val="en-US" w:eastAsia="zh-CN"/>
        </w:rPr>
        <w:t xml:space="preserve">    4</w:t>
      </w:r>
      <w:r>
        <w:rPr>
          <w:rFonts w:hint="eastAsia" w:ascii="宋体" w:hAnsi="宋体" w:eastAsia="宋体" w:cs="宋体"/>
          <w:color w:val="auto"/>
          <w:sz w:val="28"/>
          <w:szCs w:val="28"/>
          <w:u w:val="none" w:color="000000"/>
          <w:lang w:val="en-US" w:eastAsia="zh-CN" w:bidi="ar-SA"/>
        </w:rPr>
        <w:t>.1加盖供应商公章的响应报价</w:t>
      </w:r>
      <w:r>
        <w:rPr>
          <w:rFonts w:hint="eastAsia" w:ascii="宋体" w:hAnsi="宋体" w:cs="宋体"/>
          <w:color w:val="auto"/>
          <w:sz w:val="28"/>
          <w:szCs w:val="28"/>
          <w:u w:val="none" w:color="000000"/>
          <w:lang w:val="en-US" w:eastAsia="zh-CN" w:bidi="ar-SA"/>
        </w:rPr>
        <w:t>，供应商自行密封。</w:t>
      </w:r>
    </w:p>
    <w:p>
      <w:pPr>
        <w:pStyle w:val="2"/>
        <w:ind w:left="0" w:leftChars="0" w:firstLine="560" w:firstLineChars="0"/>
        <w:rPr>
          <w:rFonts w:hint="eastAsia" w:ascii="宋体" w:hAnsi="宋体" w:cs="宋体"/>
          <w:color w:val="auto"/>
          <w:sz w:val="28"/>
          <w:szCs w:val="28"/>
          <w:u w:val="none" w:color="000000"/>
          <w:lang w:val="en-US" w:eastAsia="zh-CN" w:bidi="ar-SA"/>
        </w:rPr>
      </w:pPr>
      <w:r>
        <w:rPr>
          <w:rFonts w:hint="eastAsia" w:ascii="宋体" w:hAnsi="宋体" w:cs="宋体"/>
          <w:color w:val="auto"/>
          <w:sz w:val="28"/>
          <w:szCs w:val="28"/>
          <w:u w:val="none" w:color="000000"/>
          <w:lang w:val="en-US" w:eastAsia="zh-CN" w:bidi="ar-SA"/>
        </w:rPr>
        <w:t>4</w:t>
      </w:r>
      <w:r>
        <w:rPr>
          <w:rFonts w:hint="eastAsia" w:ascii="宋体" w:hAnsi="宋体" w:eastAsia="宋体" w:cs="宋体"/>
          <w:color w:val="auto"/>
          <w:sz w:val="28"/>
          <w:szCs w:val="28"/>
          <w:u w:val="none" w:color="000000"/>
          <w:lang w:val="en-US" w:eastAsia="zh-CN" w:bidi="ar-SA"/>
        </w:rPr>
        <w:t>.2供应商营业执照</w:t>
      </w:r>
      <w:r>
        <w:rPr>
          <w:rFonts w:hint="eastAsia" w:ascii="宋体" w:hAnsi="宋体" w:cs="宋体"/>
          <w:color w:val="auto"/>
          <w:sz w:val="28"/>
          <w:szCs w:val="28"/>
          <w:u w:val="none" w:color="000000"/>
          <w:lang w:val="en-US" w:eastAsia="zh-CN" w:bidi="ar-SA"/>
        </w:rPr>
        <w:t>，与联系方式</w:t>
      </w:r>
    </w:p>
    <w:p>
      <w:pPr>
        <w:pStyle w:val="2"/>
        <w:ind w:left="0" w:leftChars="0" w:firstLine="560" w:firstLineChars="0"/>
        <w:rPr>
          <w:rFonts w:hint="eastAsia" w:ascii="宋体" w:hAnsi="宋体" w:cs="宋体"/>
          <w:color w:val="auto"/>
          <w:sz w:val="28"/>
          <w:szCs w:val="28"/>
          <w:u w:val="none" w:color="000000"/>
          <w:lang w:val="en-US" w:eastAsia="zh-CN" w:bidi="ar-SA"/>
        </w:rPr>
      </w:pPr>
      <w:r>
        <w:rPr>
          <w:rFonts w:hint="eastAsia" w:ascii="宋体" w:hAnsi="宋体" w:cs="宋体"/>
          <w:color w:val="auto"/>
          <w:sz w:val="28"/>
          <w:szCs w:val="28"/>
          <w:u w:val="none" w:color="000000"/>
          <w:lang w:val="en-US" w:eastAsia="zh-CN" w:bidi="ar-SA"/>
        </w:rPr>
        <w:t>4.3供应商资质材料。</w:t>
      </w:r>
    </w:p>
    <w:p>
      <w:pPr>
        <w:pStyle w:val="2"/>
        <w:ind w:left="0" w:leftChars="0" w:firstLine="560" w:firstLineChars="0"/>
        <w:rPr>
          <w:rFonts w:hint="default" w:ascii="宋体" w:hAnsi="宋体" w:cs="宋体"/>
          <w:color w:val="auto"/>
          <w:sz w:val="28"/>
          <w:szCs w:val="28"/>
          <w:u w:val="none" w:color="000000"/>
          <w:lang w:val="en-US" w:eastAsia="zh-CN" w:bidi="ar-SA"/>
        </w:rPr>
      </w:pPr>
      <w:r>
        <w:rPr>
          <w:rFonts w:hint="eastAsia" w:ascii="宋体" w:hAnsi="宋体" w:cs="宋体"/>
          <w:color w:val="auto"/>
          <w:sz w:val="28"/>
          <w:szCs w:val="28"/>
          <w:u w:val="none" w:color="000000"/>
          <w:lang w:val="en-US" w:eastAsia="zh-CN" w:bidi="ar-SA"/>
        </w:rPr>
        <w:t>4.4供应商控评预评技术人员材料。</w:t>
      </w:r>
    </w:p>
    <w:p>
      <w:pPr>
        <w:spacing w:line="460" w:lineRule="exact"/>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5</w:t>
      </w:r>
      <w:r>
        <w:rPr>
          <w:rFonts w:hint="eastAsia" w:ascii="宋体" w:hAnsi="宋体" w:eastAsia="宋体" w:cs="宋体"/>
          <w:b/>
          <w:bCs/>
          <w:color w:val="auto"/>
          <w:sz w:val="28"/>
          <w:szCs w:val="28"/>
          <w:lang w:val="en-US" w:eastAsia="zh-CN"/>
        </w:rPr>
        <w:t>.比价规则</w:t>
      </w:r>
    </w:p>
    <w:p>
      <w:pPr>
        <w:numPr>
          <w:ilvl w:val="0"/>
          <w:numId w:val="0"/>
        </w:numPr>
        <w:spacing w:line="460" w:lineRule="exact"/>
        <w:ind w:firstLine="560" w:firstLineChars="200"/>
        <w:jc w:val="both"/>
        <w:rPr>
          <w:rFonts w:hint="eastAsia" w:ascii="宋体" w:hAnsi="宋体" w:eastAsia="宋体" w:cs="宋体"/>
          <w:color w:val="auto"/>
          <w:sz w:val="28"/>
          <w:szCs w:val="28"/>
        </w:rPr>
      </w:pPr>
      <w:r>
        <w:rPr>
          <w:rFonts w:hint="eastAsia" w:ascii="宋体" w:hAnsi="宋体" w:cs="宋体"/>
          <w:color w:val="auto"/>
          <w:sz w:val="28"/>
          <w:szCs w:val="28"/>
          <w:lang w:val="en-US" w:eastAsia="zh-CN"/>
        </w:rPr>
        <w:t>5.1</w:t>
      </w:r>
      <w:r>
        <w:rPr>
          <w:rFonts w:hint="eastAsia" w:ascii="宋体" w:hAnsi="宋体" w:eastAsia="宋体" w:cs="宋体"/>
          <w:color w:val="auto"/>
          <w:sz w:val="28"/>
          <w:szCs w:val="28"/>
        </w:rPr>
        <w:t>本次</w:t>
      </w:r>
      <w:r>
        <w:rPr>
          <w:rFonts w:hint="eastAsia" w:ascii="宋体" w:hAnsi="宋体" w:cs="宋体"/>
          <w:color w:val="auto"/>
          <w:sz w:val="28"/>
          <w:szCs w:val="28"/>
          <w:lang w:eastAsia="zh-CN"/>
        </w:rPr>
        <w:t>比价</w:t>
      </w:r>
      <w:r>
        <w:rPr>
          <w:rFonts w:hint="eastAsia" w:ascii="宋体" w:hAnsi="宋体" w:eastAsia="宋体" w:cs="宋体"/>
          <w:color w:val="auto"/>
          <w:sz w:val="28"/>
          <w:szCs w:val="28"/>
        </w:rPr>
        <w:t>，</w:t>
      </w:r>
      <w:r>
        <w:rPr>
          <w:rFonts w:hint="eastAsia" w:ascii="宋体" w:hAnsi="宋体" w:cs="宋体"/>
          <w:color w:val="auto"/>
          <w:sz w:val="28"/>
          <w:szCs w:val="28"/>
          <w:lang w:eastAsia="zh-CN"/>
        </w:rPr>
        <w:t>采用最低价中标法，</w:t>
      </w:r>
      <w:r>
        <w:rPr>
          <w:rFonts w:hint="eastAsia" w:ascii="宋体" w:hAnsi="宋体" w:eastAsia="宋体" w:cs="宋体"/>
          <w:color w:val="auto"/>
          <w:sz w:val="28"/>
          <w:szCs w:val="28"/>
        </w:rPr>
        <w:t>实际参与（出价）的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数量少于3家，采用二次报价，根据第二次报价</w:t>
      </w:r>
      <w:r>
        <w:rPr>
          <w:rFonts w:hint="eastAsia" w:ascii="宋体" w:hAnsi="宋体" w:cs="宋体"/>
          <w:color w:val="auto"/>
          <w:sz w:val="28"/>
          <w:szCs w:val="28"/>
          <w:lang w:eastAsia="zh-CN"/>
        </w:rPr>
        <w:t>后的价格</w:t>
      </w:r>
      <w:r>
        <w:rPr>
          <w:rFonts w:hint="eastAsia" w:ascii="宋体" w:hAnsi="宋体" w:eastAsia="宋体" w:cs="宋体"/>
          <w:color w:val="auto"/>
          <w:sz w:val="28"/>
          <w:szCs w:val="28"/>
        </w:rPr>
        <w:t>确定成交</w:t>
      </w:r>
      <w:r>
        <w:rPr>
          <w:rFonts w:hint="eastAsia" w:ascii="宋体" w:hAnsi="宋体" w:cs="宋体"/>
          <w:color w:val="auto"/>
          <w:sz w:val="28"/>
          <w:szCs w:val="28"/>
          <w:lang w:eastAsia="zh-CN"/>
        </w:rPr>
        <w:t>候选人</w:t>
      </w:r>
      <w:r>
        <w:rPr>
          <w:rFonts w:hint="eastAsia" w:ascii="宋体" w:hAnsi="宋体" w:eastAsia="宋体" w:cs="宋体"/>
          <w:color w:val="auto"/>
          <w:sz w:val="28"/>
          <w:szCs w:val="28"/>
        </w:rPr>
        <w:t>；如果实际参与的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不足两家，采取洽商方式议定。</w:t>
      </w:r>
    </w:p>
    <w:p>
      <w:pPr>
        <w:numPr>
          <w:ilvl w:val="0"/>
          <w:numId w:val="0"/>
        </w:numPr>
        <w:spacing w:line="460" w:lineRule="exact"/>
        <w:ind w:firstLine="560" w:firstLineChars="200"/>
        <w:jc w:val="both"/>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5.2</w:t>
      </w:r>
      <w:r>
        <w:rPr>
          <w:rFonts w:hint="eastAsia" w:ascii="宋体" w:hAnsi="宋体" w:eastAsia="宋体" w:cs="宋体"/>
          <w:color w:val="auto"/>
          <w:sz w:val="28"/>
          <w:szCs w:val="28"/>
        </w:rPr>
        <w:t>参与报价的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，按时</w:t>
      </w:r>
      <w:r>
        <w:rPr>
          <w:rFonts w:hint="eastAsia" w:ascii="宋体" w:hAnsi="宋体" w:cs="宋体"/>
          <w:color w:val="auto"/>
          <w:sz w:val="28"/>
          <w:szCs w:val="28"/>
          <w:lang w:eastAsia="zh-CN"/>
        </w:rPr>
        <w:t>提交响应材料</w:t>
      </w:r>
      <w:r>
        <w:rPr>
          <w:rFonts w:hint="eastAsia" w:ascii="宋体" w:hAnsi="宋体" w:eastAsia="宋体" w:cs="宋体"/>
          <w:color w:val="auto"/>
          <w:sz w:val="28"/>
          <w:szCs w:val="28"/>
        </w:rPr>
        <w:t>，在规定时间内</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w:t>
      </w:r>
      <w:r>
        <w:rPr>
          <w:rFonts w:hint="eastAsia" w:ascii="宋体" w:hAnsi="宋体" w:cs="宋体"/>
          <w:color w:val="auto"/>
          <w:sz w:val="28"/>
          <w:szCs w:val="28"/>
          <w:lang w:eastAsia="zh-CN"/>
        </w:rPr>
        <w:t>根据报价金额从高到低进行排序，</w:t>
      </w:r>
      <w:r>
        <w:rPr>
          <w:rFonts w:hint="eastAsia" w:ascii="宋体" w:hAnsi="宋体" w:eastAsia="宋体" w:cs="宋体"/>
          <w:color w:val="auto"/>
          <w:sz w:val="28"/>
          <w:szCs w:val="28"/>
        </w:rPr>
        <w:t>在</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相同的情况下，</w:t>
      </w:r>
      <w:r>
        <w:rPr>
          <w:rFonts w:hint="eastAsia" w:ascii="宋体" w:hAnsi="宋体" w:cs="宋体"/>
          <w:color w:val="auto"/>
          <w:sz w:val="28"/>
          <w:szCs w:val="28"/>
          <w:lang w:eastAsia="zh-CN"/>
        </w:rPr>
        <w:t>抽签确定排序。</w:t>
      </w:r>
    </w:p>
    <w:p>
      <w:pPr>
        <w:widowControl w:val="0"/>
        <w:numPr>
          <w:ilvl w:val="0"/>
          <w:numId w:val="0"/>
        </w:numPr>
        <w:snapToGrid w:val="0"/>
        <w:spacing w:line="360" w:lineRule="auto"/>
        <w:ind w:leftChars="-695"/>
        <w:jc w:val="left"/>
        <w:textAlignment w:val="auto"/>
        <w:rPr>
          <w:rFonts w:hint="default" w:ascii="华文仿宋" w:hAnsi="华文仿宋" w:cs="宋体"/>
          <w:b/>
          <w:bCs/>
          <w:color w:val="auto"/>
          <w:kern w:val="2"/>
          <w:sz w:val="28"/>
          <w:szCs w:val="28"/>
          <w:u w:val="none"/>
          <w:lang w:val="en-US" w:eastAsia="zh-CN"/>
        </w:rPr>
      </w:pPr>
      <w:r>
        <w:rPr>
          <w:rFonts w:hint="eastAsia" w:ascii="宋体" w:hAnsi="宋体" w:eastAsia="宋体" w:cs="宋体"/>
          <w:color w:val="auto"/>
          <w:sz w:val="28"/>
          <w:szCs w:val="28"/>
          <w:u w:val="none" w:color="000000"/>
          <w:lang w:val="en-US" w:eastAsia="zh-CN" w:bidi="ar-SA"/>
        </w:rPr>
        <w:t xml:space="preserve"> </w:t>
      </w:r>
    </w:p>
    <w:p>
      <w:pPr>
        <w:pStyle w:val="7"/>
        <w:adjustRightInd w:val="0"/>
        <w:snapToGrid w:val="0"/>
        <w:spacing w:before="312" w:beforeLines="100" w:after="312" w:afterLines="100" w:line="440" w:lineRule="exact"/>
        <w:jc w:val="center"/>
        <w:rPr>
          <w:rFonts w:ascii="华文仿宋" w:eastAsia="华文仿宋" w:cs="宋体"/>
          <w:sz w:val="36"/>
          <w:szCs w:val="36"/>
        </w:rPr>
      </w:pPr>
      <w:r>
        <w:rPr>
          <w:rFonts w:hint="eastAsia" w:ascii="华文仿宋" w:hAnsi="华文仿宋" w:cs="宋体"/>
          <w:sz w:val="36"/>
          <w:szCs w:val="36"/>
        </w:rPr>
        <w:t>合同主要条款</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一、合同价格</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1.1</w:t>
      </w:r>
      <w:r>
        <w:rPr>
          <w:rFonts w:hint="eastAsia" w:ascii="宋体" w:hAnsi="宋体" w:eastAsia="宋体" w:cs="宋体"/>
          <w:color w:val="000000"/>
          <w:sz w:val="28"/>
          <w:szCs w:val="28"/>
        </w:rPr>
        <w:t>合同价格执行乙方</w:t>
      </w:r>
      <w:r>
        <w:rPr>
          <w:rFonts w:hint="eastAsia" w:ascii="宋体" w:hAnsi="宋体" w:cs="宋体"/>
          <w:color w:val="000000"/>
          <w:sz w:val="28"/>
          <w:szCs w:val="28"/>
          <w:lang w:eastAsia="zh-CN"/>
        </w:rPr>
        <w:t>响应</w:t>
      </w:r>
      <w:r>
        <w:rPr>
          <w:rFonts w:hint="eastAsia" w:ascii="宋体" w:hAnsi="宋体" w:eastAsia="宋体" w:cs="宋体"/>
          <w:color w:val="000000"/>
          <w:sz w:val="28"/>
          <w:szCs w:val="28"/>
        </w:rPr>
        <w:t>价格。</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1.2价格内容包括合同期限内乙方为进行</w:t>
      </w:r>
      <w:r>
        <w:rPr>
          <w:rFonts w:hint="eastAsia" w:ascii="宋体" w:hAnsi="宋体" w:eastAsia="宋体"/>
          <w:color w:val="000000"/>
          <w:sz w:val="28"/>
          <w:szCs w:val="28"/>
        </w:rPr>
        <w:t>西区及本部DR机房</w:t>
      </w:r>
      <w:r>
        <w:rPr>
          <w:rFonts w:ascii="宋体" w:hAnsi="宋体" w:eastAsia="宋体"/>
          <w:sz w:val="28"/>
          <w:szCs w:val="28"/>
        </w:rPr>
        <w:t>放射性职业病危害</w:t>
      </w:r>
      <w:r>
        <w:rPr>
          <w:rFonts w:hint="eastAsia" w:ascii="宋体" w:hAnsi="宋体" w:eastAsia="宋体"/>
          <w:color w:val="000000"/>
          <w:sz w:val="28"/>
          <w:szCs w:val="28"/>
        </w:rPr>
        <w:t>预评价、控制效果评价</w:t>
      </w:r>
      <w:r>
        <w:rPr>
          <w:rFonts w:hint="eastAsia" w:ascii="华文仿宋" w:hAnsi="华文仿宋" w:cs="宋体"/>
          <w:sz w:val="28"/>
          <w:szCs w:val="28"/>
        </w:rPr>
        <w:t>的所有支出和费用，包括但不限于</w:t>
      </w:r>
      <w:r>
        <w:rPr>
          <w:rFonts w:hint="eastAsia" w:ascii="宋体" w:hAnsi="宋体" w:eastAsia="宋体" w:cs="宋体"/>
          <w:color w:val="000000"/>
          <w:kern w:val="0"/>
          <w:sz w:val="28"/>
          <w:szCs w:val="28"/>
        </w:rPr>
        <w:t>完成上述工作相关的差旅费、加班费等</w:t>
      </w:r>
      <w:r>
        <w:rPr>
          <w:rFonts w:hint="eastAsia" w:ascii="华文仿宋" w:hAnsi="华文仿宋" w:cs="宋体"/>
          <w:sz w:val="28"/>
          <w:szCs w:val="28"/>
        </w:rPr>
        <w:t>。</w:t>
      </w:r>
    </w:p>
    <w:p>
      <w:pPr>
        <w:snapToGrid w:val="0"/>
        <w:spacing w:line="360" w:lineRule="auto"/>
        <w:jc w:val="left"/>
        <w:rPr>
          <w:rFonts w:ascii="华文仿宋" w:hAnsi="华文仿宋" w:cs="宋体"/>
          <w:b/>
          <w:sz w:val="28"/>
          <w:szCs w:val="28"/>
        </w:rPr>
      </w:pPr>
      <w:r>
        <w:rPr>
          <w:rFonts w:hint="eastAsia" w:ascii="华文仿宋" w:hAnsi="华文仿宋" w:cs="宋体"/>
          <w:b/>
          <w:sz w:val="28"/>
          <w:szCs w:val="28"/>
        </w:rPr>
        <w:t>二、</w:t>
      </w:r>
      <w:r>
        <w:rPr>
          <w:rFonts w:hint="eastAsia" w:ascii="华文仿宋" w:hAnsi="华文仿宋" w:cs="宋体"/>
          <w:b/>
          <w:sz w:val="28"/>
          <w:szCs w:val="28"/>
          <w:lang w:eastAsia="zh-CN"/>
        </w:rPr>
        <w:t>报告出具</w:t>
      </w:r>
      <w:r>
        <w:rPr>
          <w:rFonts w:hint="eastAsia" w:ascii="华文仿宋" w:hAnsi="华文仿宋" w:cs="宋体"/>
          <w:b/>
          <w:sz w:val="28"/>
          <w:szCs w:val="28"/>
        </w:rPr>
        <w:t>要求</w:t>
      </w:r>
    </w:p>
    <w:p>
      <w:pPr>
        <w:pStyle w:val="36"/>
        <w:ind w:firstLine="0" w:firstLineChars="0"/>
        <w:rPr>
          <w:rFonts w:hint="eastAsia" w:ascii="宋体" w:hAnsi="宋体" w:cs="宋体"/>
          <w:bCs/>
          <w:color w:val="000000"/>
          <w:kern w:val="0"/>
          <w:sz w:val="28"/>
          <w:szCs w:val="28"/>
        </w:rPr>
      </w:pPr>
      <w:r>
        <w:rPr>
          <w:rFonts w:hint="eastAsia" w:ascii="宋体" w:hAnsi="宋体"/>
          <w:color w:val="000000"/>
          <w:sz w:val="28"/>
          <w:szCs w:val="28"/>
          <w:lang w:val="en-US" w:eastAsia="zh-CN"/>
        </w:rPr>
        <w:t>2.1</w:t>
      </w:r>
      <w:r>
        <w:rPr>
          <w:rFonts w:hint="eastAsia" w:ascii="宋体" w:hAnsi="宋体"/>
          <w:color w:val="000000"/>
          <w:sz w:val="28"/>
          <w:szCs w:val="28"/>
          <w:lang w:eastAsia="zh-CN"/>
        </w:rPr>
        <w:t>在收到采购人通知后</w:t>
      </w:r>
      <w:r>
        <w:rPr>
          <w:rFonts w:hint="eastAsia" w:ascii="宋体" w:hAnsi="宋体"/>
          <w:color w:val="000000"/>
          <w:sz w:val="28"/>
          <w:szCs w:val="28"/>
          <w:lang w:val="en-US" w:eastAsia="zh-CN"/>
        </w:rPr>
        <w:t>24</w:t>
      </w:r>
      <w:r>
        <w:rPr>
          <w:rFonts w:hint="eastAsia" w:ascii="宋体" w:hAnsi="宋体"/>
          <w:color w:val="000000"/>
          <w:sz w:val="28"/>
          <w:szCs w:val="28"/>
        </w:rPr>
        <w:t>小时内响应</w:t>
      </w:r>
      <w:r>
        <w:rPr>
          <w:rFonts w:hint="eastAsia" w:ascii="宋体" w:hAnsi="宋体"/>
          <w:color w:val="000000"/>
          <w:sz w:val="28"/>
          <w:szCs w:val="28"/>
          <w:lang w:eastAsia="zh-CN"/>
        </w:rPr>
        <w:t>，</w:t>
      </w:r>
      <w:r>
        <w:rPr>
          <w:rFonts w:hint="eastAsia" w:ascii="宋体" w:hAnsi="宋体"/>
          <w:color w:val="000000"/>
          <w:sz w:val="28"/>
          <w:szCs w:val="28"/>
        </w:rPr>
        <w:t>严格按照国家规范要求，</w:t>
      </w:r>
      <w:r>
        <w:rPr>
          <w:rFonts w:hint="eastAsia" w:ascii="宋体" w:hAnsi="宋体"/>
          <w:color w:val="000000"/>
          <w:sz w:val="28"/>
          <w:szCs w:val="28"/>
          <w:lang w:eastAsia="zh-CN"/>
        </w:rPr>
        <w:t>在三日内</w:t>
      </w:r>
      <w:r>
        <w:rPr>
          <w:rFonts w:hint="eastAsia" w:ascii="宋体" w:hAnsi="宋体"/>
          <w:color w:val="000000"/>
          <w:sz w:val="28"/>
          <w:szCs w:val="28"/>
        </w:rPr>
        <w:t>开展</w:t>
      </w:r>
      <w:r>
        <w:rPr>
          <w:rFonts w:hint="eastAsia" w:ascii="宋体" w:hAnsi="宋体"/>
          <w:color w:val="000000"/>
          <w:sz w:val="28"/>
          <w:szCs w:val="28"/>
          <w:lang w:eastAsia="zh-CN"/>
        </w:rPr>
        <w:t>控评预评</w:t>
      </w:r>
      <w:r>
        <w:rPr>
          <w:rFonts w:hint="eastAsia" w:ascii="宋体" w:hAnsi="宋体"/>
          <w:color w:val="000000"/>
          <w:sz w:val="28"/>
          <w:szCs w:val="28"/>
        </w:rPr>
        <w:t>服务</w:t>
      </w:r>
      <w:r>
        <w:rPr>
          <w:rFonts w:hint="eastAsia" w:ascii="宋体" w:hAnsi="宋体" w:cs="宋体"/>
          <w:bCs/>
          <w:color w:val="000000"/>
          <w:kern w:val="0"/>
          <w:sz w:val="28"/>
          <w:szCs w:val="28"/>
        </w:rPr>
        <w:t>，并</w:t>
      </w:r>
      <w:r>
        <w:rPr>
          <w:rFonts w:hint="eastAsia" w:ascii="宋体" w:hAnsi="宋体" w:cs="宋体"/>
          <w:bCs/>
          <w:color w:val="000000"/>
          <w:kern w:val="0"/>
          <w:sz w:val="28"/>
          <w:szCs w:val="28"/>
          <w:lang w:eastAsia="zh-CN"/>
        </w:rPr>
        <w:t>在开展控评预评服务后三十个日历日内</w:t>
      </w:r>
      <w:r>
        <w:rPr>
          <w:rFonts w:hint="eastAsia" w:ascii="宋体" w:hAnsi="宋体" w:cs="宋体"/>
          <w:bCs/>
          <w:color w:val="000000"/>
          <w:kern w:val="0"/>
          <w:sz w:val="28"/>
          <w:szCs w:val="28"/>
        </w:rPr>
        <w:t>出具符合要求的报告。</w:t>
      </w:r>
    </w:p>
    <w:p>
      <w:pPr>
        <w:pStyle w:val="2"/>
        <w:ind w:left="0" w:firstLine="0" w:firstLineChars="0"/>
        <w:rPr>
          <w:rFonts w:ascii="宋体" w:hAnsi="宋体" w:cs="宋体"/>
          <w:bCs/>
          <w:color w:val="222222"/>
          <w:sz w:val="28"/>
          <w:szCs w:val="28"/>
        </w:rPr>
      </w:pPr>
      <w:r>
        <w:rPr>
          <w:rFonts w:hint="eastAsia" w:ascii="宋体" w:hAnsi="宋体" w:cs="宋体"/>
          <w:bCs/>
          <w:color w:val="222222"/>
          <w:sz w:val="28"/>
          <w:szCs w:val="28"/>
        </w:rPr>
        <w:t>2.</w:t>
      </w:r>
      <w:r>
        <w:rPr>
          <w:rFonts w:hint="eastAsia" w:ascii="宋体" w:hAnsi="宋体" w:cs="宋体"/>
          <w:bCs/>
          <w:color w:val="222222"/>
          <w:sz w:val="28"/>
          <w:szCs w:val="28"/>
          <w:lang w:val="en-US" w:eastAsia="zh-CN"/>
        </w:rPr>
        <w:t>2</w:t>
      </w:r>
      <w:r>
        <w:rPr>
          <w:rFonts w:hint="eastAsia" w:ascii="华文仿宋" w:hAnsi="华文仿宋" w:cs="宋体"/>
          <w:sz w:val="28"/>
          <w:szCs w:val="28"/>
        </w:rPr>
        <w:t>根据设备所在不同位置开具不同抬头报告</w:t>
      </w:r>
      <w:r>
        <w:rPr>
          <w:rFonts w:hint="eastAsia" w:ascii="华文仿宋" w:hAnsi="华文仿宋" w:cs="宋体"/>
          <w:b/>
          <w:bCs/>
          <w:sz w:val="28"/>
          <w:szCs w:val="28"/>
        </w:rPr>
        <w:t>。</w:t>
      </w:r>
    </w:p>
    <w:p>
      <w:pPr>
        <w:rPr>
          <w:rFonts w:ascii="宋体" w:hAnsi="宋体" w:eastAsia="宋体" w:cs="宋体"/>
          <w:b/>
          <w:color w:val="000000"/>
          <w:sz w:val="28"/>
          <w:szCs w:val="28"/>
        </w:rPr>
      </w:pPr>
      <w:r>
        <w:rPr>
          <w:rFonts w:hint="eastAsia" w:ascii="宋体" w:hAnsi="宋体" w:eastAsia="宋体" w:cs="宋体"/>
          <w:b/>
          <w:color w:val="000000"/>
          <w:sz w:val="28"/>
          <w:szCs w:val="28"/>
        </w:rPr>
        <w:t>三</w:t>
      </w:r>
      <w:r>
        <w:rPr>
          <w:rFonts w:ascii="宋体" w:hAnsi="宋体" w:eastAsia="宋体" w:cs="宋体"/>
          <w:b/>
          <w:color w:val="000000"/>
          <w:sz w:val="28"/>
          <w:szCs w:val="28"/>
        </w:rPr>
        <w:t>、</w:t>
      </w:r>
      <w:r>
        <w:rPr>
          <w:rFonts w:hint="eastAsia" w:ascii="宋体" w:hAnsi="宋体" w:eastAsia="宋体" w:cs="宋体"/>
          <w:b/>
          <w:color w:val="000000"/>
          <w:sz w:val="28"/>
          <w:szCs w:val="28"/>
        </w:rPr>
        <w:t>服务要求</w:t>
      </w:r>
    </w:p>
    <w:p>
      <w:pPr>
        <w:pStyle w:val="36"/>
        <w:ind w:firstLine="0" w:firstLineChars="0"/>
        <w:rPr>
          <w:rFonts w:ascii="宋体" w:hAnsi="宋体" w:cs="宋体"/>
          <w:bCs/>
          <w:color w:val="000000"/>
          <w:kern w:val="0"/>
          <w:sz w:val="28"/>
          <w:szCs w:val="28"/>
        </w:rPr>
      </w:pPr>
      <w:r>
        <w:rPr>
          <w:rFonts w:hint="eastAsia" w:ascii="宋体" w:hAnsi="宋体"/>
          <w:color w:val="000000"/>
          <w:sz w:val="28"/>
          <w:szCs w:val="28"/>
        </w:rPr>
        <w:t>在出具报告后如有后续相关事宜，乙方须积极配合甲方工作。</w:t>
      </w:r>
    </w:p>
    <w:p>
      <w:pPr>
        <w:rPr>
          <w:rFonts w:ascii="华文仿宋" w:hAnsi="华文仿宋" w:cs="宋体"/>
          <w:sz w:val="28"/>
          <w:szCs w:val="28"/>
        </w:rPr>
      </w:pPr>
      <w:r>
        <w:rPr>
          <w:rFonts w:hint="eastAsia" w:ascii="宋体" w:hAnsi="宋体" w:cs="宋体"/>
          <w:b/>
          <w:sz w:val="28"/>
          <w:szCs w:val="28"/>
        </w:rPr>
        <w:t>四</w:t>
      </w:r>
      <w:r>
        <w:rPr>
          <w:rFonts w:ascii="宋体" w:hAnsi="宋体" w:cs="宋体"/>
          <w:b/>
          <w:sz w:val="28"/>
          <w:szCs w:val="28"/>
        </w:rPr>
        <w:t>、</w:t>
      </w:r>
      <w:r>
        <w:rPr>
          <w:rFonts w:hint="eastAsia" w:ascii="宋体" w:hAnsi="宋体" w:cs="宋体"/>
          <w:b/>
          <w:sz w:val="28"/>
          <w:szCs w:val="28"/>
        </w:rPr>
        <w:t>结算与支付</w:t>
      </w:r>
    </w:p>
    <w:p>
      <w:pPr>
        <w:snapToGrid w:val="0"/>
        <w:spacing w:line="360" w:lineRule="auto"/>
        <w:jc w:val="left"/>
        <w:rPr>
          <w:rFonts w:hint="eastAsia" w:ascii="华文仿宋" w:hAnsi="华文仿宋" w:eastAsia="宋体" w:cs="宋体"/>
          <w:sz w:val="28"/>
          <w:szCs w:val="28"/>
          <w:lang w:eastAsia="zh-CN"/>
        </w:rPr>
      </w:pPr>
      <w:r>
        <w:rPr>
          <w:rFonts w:hint="eastAsia" w:ascii="华文仿宋" w:hAnsi="华文仿宋" w:cs="宋体"/>
          <w:sz w:val="28"/>
          <w:szCs w:val="28"/>
        </w:rPr>
        <w:t>4.1甲方管理部门和使用部门以</w:t>
      </w:r>
      <w:r>
        <w:rPr>
          <w:rFonts w:hint="eastAsia" w:ascii="华文仿宋" w:hAnsi="华文仿宋" w:cs="宋体"/>
          <w:sz w:val="28"/>
          <w:szCs w:val="28"/>
          <w:lang w:eastAsia="zh-CN"/>
        </w:rPr>
        <w:t>供应商出具的控评预评报告和</w:t>
      </w:r>
      <w:r>
        <w:rPr>
          <w:rFonts w:hint="eastAsia" w:ascii="华文仿宋" w:hAnsi="华文仿宋" w:cs="宋体"/>
          <w:sz w:val="28"/>
          <w:szCs w:val="28"/>
        </w:rPr>
        <w:t>签字确认的验收单</w:t>
      </w:r>
      <w:r>
        <w:rPr>
          <w:rFonts w:hint="eastAsia" w:ascii="华文仿宋" w:hAnsi="华文仿宋" w:cs="宋体"/>
          <w:sz w:val="28"/>
          <w:szCs w:val="28"/>
          <w:lang w:eastAsia="zh-CN"/>
        </w:rPr>
        <w:t>为必要资料作为结算依据。</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4.</w:t>
      </w:r>
      <w:r>
        <w:rPr>
          <w:rFonts w:hint="default" w:hAnsi="华文仿宋" w:cs="宋体"/>
          <w:sz w:val="28"/>
          <w:szCs w:val="28"/>
          <w:lang w:val="en-US"/>
        </w:rPr>
        <w:t>2</w:t>
      </w:r>
      <w:r>
        <w:rPr>
          <w:rFonts w:hint="eastAsia" w:ascii="华文仿宋" w:hAnsi="华文仿宋" w:cs="宋体"/>
          <w:sz w:val="28"/>
          <w:szCs w:val="28"/>
        </w:rPr>
        <w:t>支付</w:t>
      </w:r>
      <w:r>
        <w:rPr>
          <w:rFonts w:hint="eastAsia" w:ascii="华文仿宋" w:hAnsi="华文仿宋" w:cs="宋体"/>
          <w:sz w:val="28"/>
          <w:szCs w:val="28"/>
          <w:lang w:eastAsia="zh-CN"/>
        </w:rPr>
        <w:t>时间与</w:t>
      </w:r>
      <w:r>
        <w:rPr>
          <w:rFonts w:hint="eastAsia" w:ascii="华文仿宋" w:hAnsi="华文仿宋" w:cs="宋体"/>
          <w:sz w:val="28"/>
          <w:szCs w:val="28"/>
        </w:rPr>
        <w:t>方式：</w:t>
      </w:r>
      <w:r>
        <w:rPr>
          <w:rFonts w:hint="eastAsia" w:ascii="华文仿宋" w:hAnsi="华文仿宋" w:cs="宋体"/>
          <w:sz w:val="28"/>
          <w:szCs w:val="28"/>
          <w:lang w:eastAsia="zh-CN"/>
        </w:rPr>
        <w:t>验收合格并收到供应商发票后三十个日历日内通过银行</w:t>
      </w:r>
      <w:r>
        <w:rPr>
          <w:rFonts w:hint="eastAsia" w:ascii="华文仿宋" w:hAnsi="华文仿宋" w:cs="宋体"/>
          <w:sz w:val="28"/>
          <w:szCs w:val="28"/>
        </w:rPr>
        <w:t>转账支付。</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4.</w:t>
      </w:r>
      <w:r>
        <w:rPr>
          <w:rFonts w:hint="default" w:hAnsi="华文仿宋" w:cs="宋体"/>
          <w:sz w:val="28"/>
          <w:szCs w:val="28"/>
          <w:lang w:val="en-US"/>
        </w:rPr>
        <w:t>3</w:t>
      </w:r>
      <w:r>
        <w:rPr>
          <w:rFonts w:hint="eastAsia" w:ascii="华文仿宋" w:hAnsi="华文仿宋" w:cs="宋体"/>
          <w:sz w:val="28"/>
          <w:szCs w:val="28"/>
        </w:rPr>
        <w:t>乙方开具增值税发票。</w:t>
      </w:r>
    </w:p>
    <w:p>
      <w:pPr>
        <w:snapToGrid w:val="0"/>
        <w:spacing w:line="360" w:lineRule="auto"/>
        <w:jc w:val="left"/>
        <w:rPr>
          <w:rFonts w:ascii="华文仿宋" w:hAnsi="华文仿宋" w:cs="宋体"/>
          <w:b/>
          <w:bCs/>
          <w:sz w:val="28"/>
          <w:szCs w:val="28"/>
        </w:rPr>
      </w:pPr>
      <w:r>
        <w:rPr>
          <w:rFonts w:hint="eastAsia" w:ascii="华文仿宋" w:hAnsi="华文仿宋" w:cs="宋体"/>
          <w:b/>
          <w:bCs/>
          <w:sz w:val="28"/>
          <w:szCs w:val="28"/>
        </w:rPr>
        <w:t>五、履约保证金</w:t>
      </w:r>
    </w:p>
    <w:p>
      <w:pPr>
        <w:pStyle w:val="36"/>
        <w:snapToGrid w:val="0"/>
        <w:spacing w:line="360" w:lineRule="auto"/>
        <w:ind w:firstLine="0" w:firstLineChars="0"/>
        <w:jc w:val="left"/>
        <w:rPr>
          <w:rFonts w:ascii="华文仿宋" w:hAnsi="华文仿宋" w:cs="宋体"/>
          <w:sz w:val="28"/>
          <w:szCs w:val="28"/>
        </w:rPr>
      </w:pPr>
      <w:r>
        <w:rPr>
          <w:rFonts w:hint="eastAsia" w:ascii="华文仿宋" w:hAnsi="华文仿宋" w:cs="宋体"/>
          <w:sz w:val="28"/>
          <w:szCs w:val="28"/>
        </w:rPr>
        <w:t xml:space="preserve">5.1缴纳                                                             </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中标单位应于接到中标通知书后的7日内向采购人指定账户打入</w:t>
      </w:r>
      <w:r>
        <w:rPr>
          <w:rFonts w:hint="default" w:hAnsi="华文仿宋" w:cs="宋体"/>
          <w:sz w:val="28"/>
          <w:szCs w:val="28"/>
          <w:lang w:val="en-US"/>
        </w:rPr>
        <w:t>10</w:t>
      </w:r>
      <w:r>
        <w:rPr>
          <w:rFonts w:hint="eastAsia" w:ascii="华文仿宋" w:hAnsi="华文仿宋" w:cs="宋体"/>
          <w:sz w:val="28"/>
          <w:szCs w:val="28"/>
        </w:rPr>
        <w:t>00元作为履约保证金；</w:t>
      </w:r>
    </w:p>
    <w:p>
      <w:pPr>
        <w:snapToGrid w:val="0"/>
        <w:spacing w:line="360" w:lineRule="auto"/>
        <w:jc w:val="left"/>
        <w:rPr>
          <w:rFonts w:ascii="华文仿宋" w:hAnsi="华文仿宋" w:cs="宋体"/>
          <w:sz w:val="28"/>
          <w:szCs w:val="28"/>
        </w:rPr>
      </w:pPr>
      <w:r>
        <w:rPr>
          <w:rFonts w:hint="eastAsia" w:ascii="华文仿宋" w:hAnsi="华文仿宋" w:cs="宋体"/>
          <w:sz w:val="28"/>
          <w:szCs w:val="28"/>
        </w:rPr>
        <w:t>5.2退还</w:t>
      </w:r>
    </w:p>
    <w:p>
      <w:pPr>
        <w:snapToGrid w:val="0"/>
        <w:spacing w:line="360" w:lineRule="auto"/>
        <w:jc w:val="left"/>
        <w:rPr>
          <w:rFonts w:ascii="华文仿宋" w:hAnsi="华文仿宋" w:cs="宋体"/>
          <w:sz w:val="28"/>
          <w:szCs w:val="28"/>
        </w:rPr>
      </w:pPr>
      <w:r>
        <w:rPr>
          <w:rFonts w:hint="eastAsia" w:ascii="华文仿宋" w:hAnsi="华文仿宋" w:cs="宋体"/>
          <w:sz w:val="28"/>
          <w:szCs w:val="28"/>
          <w:lang w:eastAsia="zh-CN"/>
        </w:rPr>
        <w:t>两个院区报告出具报告，并经相关部门验收合格后</w:t>
      </w:r>
      <w:r>
        <w:rPr>
          <w:rFonts w:hint="eastAsia" w:ascii="华文仿宋" w:hAnsi="华文仿宋" w:cs="宋体"/>
          <w:sz w:val="28"/>
          <w:szCs w:val="28"/>
        </w:rPr>
        <w:t>，综合评价履约情况，无相关问题后在一个月内无息返还。</w:t>
      </w:r>
    </w:p>
    <w:p>
      <w:pPr>
        <w:numPr>
          <w:ilvl w:val="0"/>
          <w:numId w:val="2"/>
        </w:numPr>
        <w:snapToGrid w:val="0"/>
        <w:spacing w:line="360" w:lineRule="auto"/>
        <w:jc w:val="left"/>
        <w:rPr>
          <w:rFonts w:ascii="华文仿宋" w:hAnsi="华文仿宋" w:cs="宋体"/>
          <w:sz w:val="28"/>
          <w:szCs w:val="28"/>
        </w:rPr>
      </w:pPr>
      <w:r>
        <w:rPr>
          <w:rFonts w:hint="eastAsia" w:ascii="华文仿宋" w:hAnsi="华文仿宋" w:cs="宋体"/>
          <w:b/>
          <w:bCs/>
          <w:sz w:val="28"/>
          <w:szCs w:val="28"/>
        </w:rPr>
        <w:t>违约责任</w:t>
      </w:r>
    </w:p>
    <w:p>
      <w:pPr>
        <w:pStyle w:val="2"/>
        <w:ind w:left="0" w:firstLine="0" w:firstLineChars="0"/>
        <w:rPr>
          <w:rFonts w:ascii="华文仿宋" w:hAnsi="华文仿宋" w:cs="宋体"/>
          <w:sz w:val="28"/>
          <w:szCs w:val="28"/>
        </w:rPr>
      </w:pPr>
      <w:r>
        <w:rPr>
          <w:rFonts w:hint="eastAsia" w:ascii="华文仿宋" w:hAnsi="华文仿宋" w:cs="宋体"/>
          <w:sz w:val="28"/>
          <w:szCs w:val="28"/>
        </w:rPr>
        <w:t>6.</w:t>
      </w:r>
      <w:r>
        <w:rPr>
          <w:rFonts w:hint="default" w:hAnsi="华文仿宋" w:cs="宋体"/>
          <w:sz w:val="28"/>
          <w:szCs w:val="28"/>
          <w:lang w:val="en-US"/>
        </w:rPr>
        <w:t>1</w:t>
      </w:r>
      <w:r>
        <w:rPr>
          <w:rFonts w:hint="eastAsia" w:ascii="华文仿宋" w:hAnsi="华文仿宋" w:cs="宋体"/>
          <w:sz w:val="28"/>
          <w:szCs w:val="28"/>
        </w:rPr>
        <w:t>乙方不能在约定时间内</w:t>
      </w:r>
      <w:r>
        <w:rPr>
          <w:rFonts w:hint="eastAsia" w:ascii="华文仿宋" w:hAnsi="华文仿宋" w:cs="宋体"/>
          <w:sz w:val="28"/>
          <w:szCs w:val="28"/>
          <w:lang w:eastAsia="zh-CN"/>
        </w:rPr>
        <w:t>出具报告的，每延期一天需承担合同总金额的千分之二，延期超过十天甲方有权解除合同。</w:t>
      </w:r>
    </w:p>
    <w:p>
      <w:pPr>
        <w:pStyle w:val="2"/>
        <w:ind w:left="0" w:firstLine="0" w:firstLineChars="0"/>
        <w:rPr>
          <w:rFonts w:ascii="华文仿宋" w:hAnsi="华文仿宋" w:cs="宋体"/>
          <w:sz w:val="28"/>
          <w:szCs w:val="28"/>
        </w:rPr>
      </w:pPr>
      <w:r>
        <w:rPr>
          <w:rFonts w:hint="eastAsia" w:ascii="华文仿宋" w:hAnsi="华文仿宋" w:cs="宋体"/>
          <w:sz w:val="28"/>
          <w:szCs w:val="28"/>
        </w:rPr>
        <w:t>6.4</w:t>
      </w:r>
      <w:r>
        <w:rPr>
          <w:rFonts w:hint="eastAsia" w:ascii="华文仿宋" w:hAnsi="华文仿宋" w:cs="宋体"/>
          <w:sz w:val="28"/>
          <w:szCs w:val="28"/>
          <w:lang w:eastAsia="zh-CN"/>
        </w:rPr>
        <w:t>乙方出具的报告不符合国家相关要求或者不合规的，甲方有权拒付合同价款，并追究乙方违约责任。</w:t>
      </w:r>
    </w:p>
    <w:p>
      <w:pPr>
        <w:snapToGrid w:val="0"/>
        <w:spacing w:line="360" w:lineRule="auto"/>
        <w:jc w:val="left"/>
        <w:rPr>
          <w:rFonts w:ascii="华文仿宋" w:hAnsi="华文仿宋" w:cs="宋体"/>
          <w:b/>
          <w:bCs/>
          <w:sz w:val="30"/>
          <w:szCs w:val="30"/>
        </w:rPr>
      </w:pPr>
      <w:r>
        <w:rPr>
          <w:rFonts w:hint="eastAsia" w:ascii="华文仿宋" w:hAnsi="华文仿宋" w:cs="宋体"/>
          <w:b/>
          <w:bCs/>
          <w:sz w:val="30"/>
          <w:szCs w:val="30"/>
        </w:rPr>
        <w:t>七、解决纠纷方式</w:t>
      </w:r>
    </w:p>
    <w:p>
      <w:pPr>
        <w:pStyle w:val="3"/>
        <w:spacing w:line="500" w:lineRule="exact"/>
        <w:ind w:left="0"/>
        <w:rPr>
          <w:rFonts w:ascii="华文仿宋" w:hAnsi="华文仿宋" w:cs="宋体"/>
          <w:sz w:val="28"/>
          <w:szCs w:val="28"/>
        </w:rPr>
      </w:pPr>
      <w:r>
        <w:rPr>
          <w:rFonts w:hint="eastAsia" w:ascii="华文仿宋" w:hAnsi="华文仿宋" w:cs="宋体"/>
          <w:sz w:val="28"/>
          <w:szCs w:val="28"/>
        </w:rPr>
        <w:t>双方约定，本合同在履行过程中发生的争议，由双方当事人协商解决，协商不成的依法向甲方所在地人民法院提起诉讼。</w:t>
      </w:r>
    </w:p>
    <w:p>
      <w:pPr>
        <w:pStyle w:val="2"/>
        <w:ind w:left="0" w:leftChars="0" w:firstLine="0" w:firstLineChars="0"/>
        <w:rPr>
          <w:rFonts w:ascii="宋体" w:hAnsi="宋体" w:cs="宋体"/>
          <w:b/>
          <w:bCs/>
          <w:sz w:val="28"/>
          <w:szCs w:val="28"/>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0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6"/>
      <w:numFmt w:val="chineseCounting"/>
      <w:suff w:val="nothing"/>
      <w:lvlText w:val="%1、"/>
      <w:lvlJc w:val="left"/>
      <w:rPr>
        <w:rFonts w:hint="eastAsia"/>
      </w:rPr>
    </w:lvl>
  </w:abstractNum>
  <w:abstractNum w:abstractNumId="1">
    <w:nsid w:val="329E59A1"/>
    <w:multiLevelType w:val="singleLevel"/>
    <w:tmpl w:val="329E59A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00000000"/>
    <w:rsid w:val="15B5015E"/>
    <w:rsid w:val="1E94256F"/>
    <w:rsid w:val="2AB31F0B"/>
    <w:rsid w:val="355113AB"/>
    <w:rsid w:val="7CB86C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3"/>
    <w:basedOn w:val="1"/>
    <w:next w:val="6"/>
    <w:link w:val="26"/>
    <w:qFormat/>
    <w:uiPriority w:val="99"/>
    <w:pPr>
      <w:keepNext/>
      <w:keepLines/>
      <w:spacing w:before="260" w:after="260" w:line="415" w:lineRule="auto"/>
      <w:outlineLvl w:val="2"/>
    </w:pPr>
    <w:rPr>
      <w:b/>
      <w:bCs/>
      <w:kern w:val="0"/>
      <w:sz w:val="32"/>
      <w:szCs w:val="32"/>
    </w:rPr>
  </w:style>
  <w:style w:type="paragraph" w:styleId="7">
    <w:name w:val="heading 4"/>
    <w:basedOn w:val="1"/>
    <w:next w:val="1"/>
    <w:link w:val="27"/>
    <w:qFormat/>
    <w:uiPriority w:val="99"/>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28"/>
    <w:qFormat/>
    <w:uiPriority w:val="99"/>
    <w:pPr>
      <w:keepNext/>
      <w:keepLines/>
      <w:spacing w:before="280" w:after="290" w:line="376" w:lineRule="auto"/>
      <w:outlineLvl w:val="4"/>
    </w:pPr>
    <w:rPr>
      <w:b/>
      <w:bCs/>
      <w:kern w:val="0"/>
      <w:sz w:val="28"/>
      <w:szCs w:val="28"/>
    </w:rPr>
  </w:style>
  <w:style w:type="character" w:default="1" w:styleId="25">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link w:val="30"/>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99"/>
    <w:pPr>
      <w:ind w:firstLine="420"/>
    </w:pPr>
    <w:rPr>
      <w:szCs w:val="20"/>
    </w:rPr>
  </w:style>
  <w:style w:type="paragraph" w:styleId="9">
    <w:name w:val="annotation text"/>
    <w:basedOn w:val="1"/>
    <w:link w:val="29"/>
    <w:qFormat/>
    <w:uiPriority w:val="99"/>
    <w:pPr>
      <w:jc w:val="left"/>
    </w:pPr>
    <w:rPr>
      <w:kern w:val="0"/>
      <w:sz w:val="20"/>
    </w:rPr>
  </w:style>
  <w:style w:type="paragraph" w:styleId="10">
    <w:name w:val="List Continue"/>
    <w:basedOn w:val="1"/>
    <w:qFormat/>
    <w:uiPriority w:val="99"/>
    <w:pPr>
      <w:spacing w:after="120"/>
      <w:ind w:left="420" w:leftChars="200"/>
    </w:pPr>
  </w:style>
  <w:style w:type="paragraph" w:styleId="11">
    <w:name w:val="footer"/>
    <w:basedOn w:val="1"/>
    <w:link w:val="31"/>
    <w:qFormat/>
    <w:uiPriority w:val="99"/>
    <w:pPr>
      <w:tabs>
        <w:tab w:val="center" w:pos="4153"/>
        <w:tab w:val="right" w:pos="8306"/>
      </w:tabs>
      <w:snapToGrid w:val="0"/>
      <w:jc w:val="left"/>
    </w:pPr>
    <w:rPr>
      <w:kern w:val="0"/>
      <w:sz w:val="18"/>
      <w:szCs w:val="18"/>
    </w:rPr>
  </w:style>
  <w:style w:type="paragraph" w:styleId="12">
    <w:name w:val="header"/>
    <w:basedOn w:val="1"/>
    <w:link w:val="3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3">
    <w:name w:val="Body Text Indent 3"/>
    <w:basedOn w:val="1"/>
    <w:link w:val="33"/>
    <w:qFormat/>
    <w:uiPriority w:val="99"/>
    <w:pPr>
      <w:spacing w:line="560" w:lineRule="exact"/>
      <w:ind w:left="735" w:leftChars="350"/>
    </w:pPr>
    <w:rPr>
      <w:kern w:val="0"/>
      <w:sz w:val="16"/>
      <w:szCs w:val="16"/>
    </w:rPr>
  </w:style>
  <w:style w:type="paragraph" w:styleId="14">
    <w:name w:val="Body Text 2"/>
    <w:basedOn w:val="1"/>
    <w:link w:val="34"/>
    <w:qFormat/>
    <w:uiPriority w:val="99"/>
    <w:pPr>
      <w:jc w:val="center"/>
    </w:pPr>
    <w:rPr>
      <w:kern w:val="0"/>
      <w:sz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8">
    <w:name w:val="Medium Grid 3"/>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9">
    <w:name w:val="Medium Grid 3 Accent 1"/>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0">
    <w:name w:val="Medium Grid 3 Accent 2"/>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1">
    <w:name w:val="Medium Grid 3 Accent 3"/>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2">
    <w:name w:val="Medium Grid 3 Accent 4"/>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3">
    <w:name w:val="Medium Grid 3 Accent 5"/>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4">
    <w:name w:val="Medium Grid 3 Accent 6"/>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customStyle="1" w:styleId="26">
    <w:name w:val="标题 3 Char"/>
    <w:link w:val="5"/>
    <w:qFormat/>
    <w:uiPriority w:val="99"/>
    <w:rPr>
      <w:rFonts w:ascii="Calibri" w:hAnsi="Calibri" w:cs="Times New Roman"/>
      <w:b/>
      <w:sz w:val="32"/>
    </w:rPr>
  </w:style>
  <w:style w:type="character" w:customStyle="1" w:styleId="27">
    <w:name w:val="标题 4 Char"/>
    <w:link w:val="7"/>
    <w:qFormat/>
    <w:uiPriority w:val="99"/>
    <w:rPr>
      <w:rFonts w:ascii="Cambria" w:hAnsi="Cambria" w:eastAsia="宋体" w:cs="Times New Roman"/>
      <w:b/>
      <w:sz w:val="28"/>
    </w:rPr>
  </w:style>
  <w:style w:type="character" w:customStyle="1" w:styleId="28">
    <w:name w:val="标题 5 Char"/>
    <w:link w:val="8"/>
    <w:qFormat/>
    <w:uiPriority w:val="99"/>
    <w:rPr>
      <w:rFonts w:ascii="Calibri" w:hAnsi="Calibri" w:cs="Times New Roman"/>
      <w:b/>
      <w:sz w:val="28"/>
    </w:rPr>
  </w:style>
  <w:style w:type="character" w:customStyle="1" w:styleId="29">
    <w:name w:val="批注文字 Char"/>
    <w:link w:val="9"/>
    <w:qFormat/>
    <w:uiPriority w:val="99"/>
    <w:rPr>
      <w:rFonts w:ascii="Calibri" w:hAnsi="Calibri" w:cs="Times New Roman"/>
      <w:sz w:val="24"/>
    </w:rPr>
  </w:style>
  <w:style w:type="character" w:customStyle="1" w:styleId="30">
    <w:name w:val="正文文本缩进 Char"/>
    <w:link w:val="3"/>
    <w:qFormat/>
    <w:uiPriority w:val="99"/>
    <w:rPr>
      <w:rFonts w:ascii="Calibri" w:hAnsi="Calibri" w:cs="Times New Roman"/>
      <w:sz w:val="24"/>
    </w:rPr>
  </w:style>
  <w:style w:type="character" w:customStyle="1" w:styleId="31">
    <w:name w:val="页脚 Char"/>
    <w:link w:val="11"/>
    <w:qFormat/>
    <w:uiPriority w:val="99"/>
    <w:rPr>
      <w:rFonts w:ascii="Calibri" w:hAnsi="Calibri" w:cs="Times New Roman"/>
      <w:sz w:val="18"/>
    </w:rPr>
  </w:style>
  <w:style w:type="character" w:customStyle="1" w:styleId="32">
    <w:name w:val="页眉 Char"/>
    <w:link w:val="12"/>
    <w:qFormat/>
    <w:uiPriority w:val="99"/>
    <w:rPr>
      <w:rFonts w:ascii="Calibri" w:hAnsi="Calibri" w:cs="Times New Roman"/>
      <w:sz w:val="18"/>
    </w:rPr>
  </w:style>
  <w:style w:type="character" w:customStyle="1" w:styleId="33">
    <w:name w:val="正文文本缩进 3 Char"/>
    <w:link w:val="13"/>
    <w:qFormat/>
    <w:uiPriority w:val="99"/>
    <w:rPr>
      <w:rFonts w:ascii="Calibri" w:hAnsi="Calibri" w:cs="Times New Roman"/>
      <w:sz w:val="16"/>
    </w:rPr>
  </w:style>
  <w:style w:type="character" w:customStyle="1" w:styleId="34">
    <w:name w:val="正文文本 2 Char"/>
    <w:link w:val="14"/>
    <w:qFormat/>
    <w:uiPriority w:val="99"/>
    <w:rPr>
      <w:rFonts w:ascii="Calibri" w:hAnsi="Calibri" w:cs="Times New Roman"/>
      <w:sz w:val="24"/>
    </w:rPr>
  </w:style>
  <w:style w:type="character" w:customStyle="1" w:styleId="35">
    <w:name w:val="font01"/>
    <w:qFormat/>
    <w:uiPriority w:val="99"/>
    <w:rPr>
      <w:rFonts w:ascii="宋体" w:hAnsi="宋体" w:eastAsia="宋体"/>
      <w:color w:val="000000"/>
      <w:sz w:val="24"/>
      <w:u w:val="none"/>
    </w:rPr>
  </w:style>
  <w:style w:type="paragraph" w:customStyle="1" w:styleId="36">
    <w:name w:val="列出段落1"/>
    <w:basedOn w:val="1"/>
    <w:qFormat/>
    <w:uiPriority w:val="99"/>
    <w:pPr>
      <w:ind w:firstLine="420" w:firstLineChars="200"/>
    </w:pPr>
  </w:style>
  <w:style w:type="paragraph" w:customStyle="1" w:styleId="37">
    <w:name w:val="cui-prof"/>
    <w:basedOn w:val="1"/>
    <w:qFormat/>
    <w:uiPriority w:val="99"/>
    <w:pPr>
      <w:widowControl/>
      <w:spacing w:before="100" w:beforeAutospacing="1" w:after="100" w:afterAutospacing="1"/>
      <w:jc w:val="left"/>
    </w:pPr>
    <w:rPr>
      <w:rFonts w:ascii="宋体" w:hAnsi="宋体" w:cs="宋体"/>
      <w:kern w:val="0"/>
      <w:sz w:val="24"/>
    </w:rPr>
  </w:style>
  <w:style w:type="character" w:customStyle="1" w:styleId="38">
    <w:name w:val="s41"/>
    <w:qFormat/>
    <w:uiPriority w:val="0"/>
    <w:rPr>
      <w:color w:val="FF0000"/>
    </w:rPr>
  </w:style>
  <w:style w:type="character" w:customStyle="1" w:styleId="39">
    <w:name w:val="s61"/>
    <w:qFormat/>
    <w:uiPriority w:val="0"/>
    <w:rPr>
      <w:rFonts w:hint="default" w:ascii="Times New Roman" w:hAnsi="Times New Roman" w:cs="Times New Roman"/>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62BB8-C4D0-4716-9884-C955DAFC65C5}">
  <ds:schemaRefs/>
</ds:datastoreItem>
</file>

<file path=docProps/app.xml><?xml version="1.0" encoding="utf-8"?>
<Properties xmlns="http://schemas.openxmlformats.org/officeDocument/2006/extended-properties" xmlns:vt="http://schemas.openxmlformats.org/officeDocument/2006/docPropsVTypes">
  <Template>Normal.dotm</Template>
  <Company>ss</Company>
  <Pages>5</Pages>
  <Words>1968</Words>
  <Characters>2099</Characters>
  <Paragraphs>270</Paragraphs>
  <TotalTime>1</TotalTime>
  <ScaleCrop>false</ScaleCrop>
  <LinksUpToDate>false</LinksUpToDate>
  <CharactersWithSpaces>2182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2022-11-03T07:36:00Z</dcterms:created>
  <dc:creator>影风</dc:creator>
  <cp:lastModifiedBy>尘土</cp:lastModifiedBy>
  <cp:lastPrinted>2021-08-28T10:21:00Z</cp:lastPrinted>
  <dcterms:modified xsi:type="dcterms:W3CDTF">2022-11-18T09:58:02Z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92F25A4C9EDF480A8A5981135780C403</vt:lpwstr>
  </property>
</Properties>
</file>