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淮北市相王医药连锁有限公司药房门头改造项目比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淮北市相王医药连锁有限公司药房门头改造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淮北市相王医药连锁有限公司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本单位部分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药房门头改造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，详见采购要求。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133592.60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壹拾叁万叁仟伍佰玖拾贰圆陆角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须具有合法有效的《营业执照》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涵盖广告业务，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HAnsi" w:hAnsiTheme="minorHAnsi" w:eastAsiaTheme="minorEastAsia"/>
                <w:kern w:val="2"/>
                <w:sz w:val="28"/>
                <w:szCs w:val="28"/>
                <w:lang w:val="en-US" w:eastAsia="zh-CN" w:bidi="ar-SA"/>
              </w:rPr>
              <w:t>人民币1000元，必须由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eastAsia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账户汇出。</w:t>
            </w:r>
            <w:r>
              <w:rPr>
                <w:rFonts w:hint="eastAsia" w:cs="宋体" w:asciiTheme="minorHAnsi" w:hAnsiTheme="minorHAnsi" w:eastAsiaTheme="minorEastAsia"/>
                <w:kern w:val="2"/>
                <w:sz w:val="28"/>
                <w:szCs w:val="28"/>
                <w:lang w:val="en-US" w:eastAsia="zh-CN" w:bidi="ar-SA"/>
              </w:rPr>
              <w:t>如在投标截止前投标人未交纳投标保证金的，接受人将拒收其投标文件。投标保证金银行回执开标前交于采购人审核。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:highlight w:val="none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称：安徽相王医疗健康股份有限公司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开户行：中国工商银行股份有限公司淮北人民东路支行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账号：9558851305000004078  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评标结束后，拟中标单位投标保证金由招标人留置，非拟中标单位的投标保证金在次月十五号后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一周内无息退还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中标人投标保证金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次月十五号后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一周内无息退还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在投标有效期内撤回投标文件、及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中标后不愿签订合同，其投标保证金不予退还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Calibri" w:hAnsi="Calibri" w:cs="宋体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比价文件分为资格标和商务标两部分，分开密封，在封面注明清楚。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编制比价文件时在目录列明对应材料所在位置。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现金缴纳1500元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Calibri" w:hAnsi="Calibri" w:cs="宋体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8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于202</w:t>
            </w:r>
            <w:r>
              <w:rPr>
                <w:rStyle w:val="18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8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</w:pPr>
      <w:r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淮北市相王医药连锁有限公司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none" w:color="000000"/>
          <w:lang w:val="en-US" w:eastAsia="zh-CN" w:bidi="ar-SA"/>
        </w:rPr>
        <w:t>现有部分药房门头老旧，为更好展现药房形象，服务社会。现对我单位部分药房门头进行改造，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分布位置见附件《淮北市相王医药连锁有限公司门店信息表》。</w:t>
      </w:r>
      <w:bookmarkStart w:id="1" w:name="_GoBack"/>
      <w:bookmarkEnd w:id="1"/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见附件《相王医药药房门头改造采购清单》，为完成本项目所需辅材供应商自行承担。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ind w:leftChars="0" w:firstLine="562" w:firstLineChars="200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val="en-US" w:eastAsia="zh-CN"/>
        </w:rPr>
        <w:t xml:space="preserve">注：项目验收标准 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ind w:leftChars="0" w:firstLine="560" w:firstLineChars="200"/>
        <w:jc w:val="left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1、门头广告与原有建筑物的连接可靠、牢固安全。连接埋置固定部位和连接件强度等同。设置广告不损坏附着建筑物结构、防水层及其外装饰。广告结构件已进行防腐、防锈处理。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2、构件连接点(焊缝、螺栓和锚栓)的检查，没有节点松动或焊缝有裂痕。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3、对照明、供电、电器控制设备运行正常，字体发光正常，灯色明亮，无灰暗，电路控制器自动控制开关正常。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4、广告版面与钢架连接牢固,灯架灯具连接牢固，灯具的防水结构正常。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5、广告结构防雨水渗漏。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6、卷闸门启动顺畅无杂音。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7、检修口位置隐蔽，检修口不透光。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left="0" w:leftChars="0" w:firstLine="56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8、收缩棚曲臂伸缩正常，布料材质防水。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报价采用固定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总价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方式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13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13"/>
        <w:ind w:left="0" w:leftChars="0" w:firstLine="56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4.3供应商认为应当提供的其他资料。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采用最低价中标法，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 xml:space="preserve"> 三、合同主要条款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合同价款</w:t>
      </w:r>
      <w:r>
        <w:rPr>
          <w:rFonts w:hint="eastAsia" w:ascii="华文仿宋" w:hAnsi="华文仿宋" w:cs="宋体"/>
          <w:color w:val="auto"/>
          <w:sz w:val="28"/>
          <w:szCs w:val="28"/>
        </w:rPr>
        <w:t>：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  <w:t>采用固定价格，---元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  <w:t>包含物品生产成本、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CN"/>
        </w:rPr>
        <w:t>辅材、现有门头拆除、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  <w:t>搬运、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CN"/>
        </w:rPr>
        <w:t>维修、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  <w:t>安装、调试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CN"/>
        </w:rPr>
        <w:t>、人工、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  <w:t>验收等所有投入和收益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val="en-US" w:eastAsia="zh-Hans"/>
        </w:rPr>
        <w:t>工程量误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差±5%内不予调整（详见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报价清单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仿宋" w:hAnsi="华文仿宋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、双方义务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义务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1、负责提供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用电以及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项目所产生的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电耗费用；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、按照本合同的约定及时结算和支付乙方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款项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、及时通知乙方履行质保期内维修整改义务。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义务和服务承诺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1、应按施工安全规范保证安全施工，对施工安全承担全部责任，对因乙方原因给甲方造成的损失承担赔偿责任；对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安全负全责。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2、在施工期间因己方过错损坏原有建筑物应承担赔偿责任。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3、应及时清理因建设施工产生的垃圾，未及时清理的，甲方可以安排第三方清理，其费用从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项目款型</w:t>
      </w:r>
      <w:r>
        <w:rPr>
          <w:rFonts w:hint="eastAsia" w:ascii="华文仿宋" w:hAnsi="华文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中扣除。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4、及时向甲方递交结算资料。</w:t>
      </w:r>
    </w:p>
    <w:p>
      <w:pPr>
        <w:pStyle w:val="19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520" w:lineRule="exact"/>
        <w:ind w:leftChars="0"/>
        <w:jc w:val="both"/>
        <w:textAlignment w:val="auto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90个自然日内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完成本项目所有门头改造工作，门头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星期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符合实际需要和验收标准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，</w:t>
      </w:r>
      <w:r>
        <w:rPr>
          <w:rFonts w:hint="eastAsia" w:ascii="华文仿宋" w:hAnsi="华文仿宋" w:cs="宋体"/>
          <w:color w:val="auto"/>
          <w:sz w:val="28"/>
          <w:szCs w:val="28"/>
        </w:rPr>
        <w:t>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cs="宋体"/>
          <w:color w:val="auto"/>
          <w:sz w:val="28"/>
          <w:szCs w:val="28"/>
        </w:rPr>
        <w:t>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物品经</w:t>
      </w:r>
      <w:r>
        <w:rPr>
          <w:rFonts w:hint="eastAsia" w:ascii="华文仿宋" w:hAnsi="华文仿宋" w:cs="宋体"/>
          <w:color w:val="auto"/>
          <w:sz w:val="28"/>
          <w:szCs w:val="28"/>
        </w:rPr>
        <w:t>验收合格后支付至合同价款的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华文仿宋" w:hAnsi="华文仿宋" w:cs="宋体"/>
          <w:color w:val="auto"/>
          <w:sz w:val="28"/>
          <w:szCs w:val="28"/>
        </w:rPr>
        <w:t>%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，余款作为质量保证金。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发票。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cs="宋体"/>
          <w:color w:val="auto"/>
          <w:sz w:val="28"/>
          <w:szCs w:val="28"/>
        </w:rPr>
        <w:t>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val="en-US" w:eastAsia="zh-CN"/>
        </w:rPr>
        <w:t>一年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</w:t>
      </w:r>
      <w:r>
        <w:rPr>
          <w:rFonts w:hint="eastAsia" w:cs="宋体"/>
          <w:color w:val="auto"/>
          <w:sz w:val="28"/>
          <w:szCs w:val="28"/>
          <w:lang w:eastAsia="zh-CN"/>
        </w:rPr>
        <w:t>，</w:t>
      </w:r>
      <w:r>
        <w:rPr>
          <w:rFonts w:hint="eastAsia" w:cs="宋体"/>
          <w:color w:val="auto"/>
          <w:sz w:val="28"/>
          <w:szCs w:val="28"/>
        </w:rPr>
        <w:t>无遗留问题后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为一年，质保期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售后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</w:t>
      </w:r>
      <w:r>
        <w:rPr>
          <w:rFonts w:hint="eastAsia" w:ascii="华文仿宋" w:hAnsi="华文仿宋" w:eastAsia="宋体" w:cs="宋体"/>
          <w:color w:val="auto"/>
          <w:sz w:val="28"/>
          <w:szCs w:val="28"/>
          <w:lang w:val="en-US" w:eastAsia="zh-CN"/>
        </w:rPr>
        <w:t>广告结构定期检测，以保证在设置年限内的安全使用，广告牌结构竣工验收满两年后，乙方应每年检测一次。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七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改造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质量不符合约定和行业规范的，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无条件返修直至符合合同约定的质量标准，修补后仍不能达到合格标准，不能交工，拆除后重新施工的，费用由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自理。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）若由于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原因，致使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停建或出现重大质量事故等违约行为，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应赔偿因此给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造成的一切损失。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因乙方违约而解除本合同的，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保全费、</w:t>
      </w:r>
      <w:r>
        <w:rPr>
          <w:rFonts w:hint="eastAsia" w:ascii="华文仿宋" w:hAnsi="华文仿宋" w:cs="宋体"/>
          <w:color w:val="auto"/>
          <w:sz w:val="28"/>
          <w:szCs w:val="28"/>
        </w:rPr>
        <w:t>律师费、差旅费等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CN"/>
        </w:rPr>
        <w:t>八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rPr>
          <w:color w:val="auto"/>
        </w:rPr>
      </w:pPr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32C4086"/>
    <w:rsid w:val="034C4289"/>
    <w:rsid w:val="03B409DD"/>
    <w:rsid w:val="03CB018A"/>
    <w:rsid w:val="05EA1E28"/>
    <w:rsid w:val="06304C93"/>
    <w:rsid w:val="074107DA"/>
    <w:rsid w:val="075D629F"/>
    <w:rsid w:val="0A2C0351"/>
    <w:rsid w:val="0B8B2BE2"/>
    <w:rsid w:val="0C0B5246"/>
    <w:rsid w:val="0C0D1684"/>
    <w:rsid w:val="0DEA74A9"/>
    <w:rsid w:val="107813C7"/>
    <w:rsid w:val="11522A6B"/>
    <w:rsid w:val="122F2D7D"/>
    <w:rsid w:val="129C68AE"/>
    <w:rsid w:val="140479A2"/>
    <w:rsid w:val="143376FC"/>
    <w:rsid w:val="15041AF5"/>
    <w:rsid w:val="15187886"/>
    <w:rsid w:val="15A20618"/>
    <w:rsid w:val="15EC5703"/>
    <w:rsid w:val="15FA2BC8"/>
    <w:rsid w:val="16BC5F97"/>
    <w:rsid w:val="16D7477D"/>
    <w:rsid w:val="16F413C5"/>
    <w:rsid w:val="1712171C"/>
    <w:rsid w:val="1756163E"/>
    <w:rsid w:val="18181DFF"/>
    <w:rsid w:val="18E257D3"/>
    <w:rsid w:val="196E01BD"/>
    <w:rsid w:val="1A4A32AC"/>
    <w:rsid w:val="1A8302B1"/>
    <w:rsid w:val="1BC96D71"/>
    <w:rsid w:val="1BF815E2"/>
    <w:rsid w:val="1D1E7A81"/>
    <w:rsid w:val="1E73531F"/>
    <w:rsid w:val="208D112C"/>
    <w:rsid w:val="20EB58C9"/>
    <w:rsid w:val="211C7540"/>
    <w:rsid w:val="213965BB"/>
    <w:rsid w:val="221F5897"/>
    <w:rsid w:val="2313421B"/>
    <w:rsid w:val="237B088B"/>
    <w:rsid w:val="24352E37"/>
    <w:rsid w:val="24DB3C79"/>
    <w:rsid w:val="250D7AF6"/>
    <w:rsid w:val="25B23C0D"/>
    <w:rsid w:val="26EC76C0"/>
    <w:rsid w:val="27BC1BCF"/>
    <w:rsid w:val="284F090E"/>
    <w:rsid w:val="29EC6282"/>
    <w:rsid w:val="29F547B7"/>
    <w:rsid w:val="2A8409B1"/>
    <w:rsid w:val="2BFB7259"/>
    <w:rsid w:val="2D1E73A5"/>
    <w:rsid w:val="2D672D4A"/>
    <w:rsid w:val="2DDF05C0"/>
    <w:rsid w:val="2DF50628"/>
    <w:rsid w:val="2FE13883"/>
    <w:rsid w:val="30517656"/>
    <w:rsid w:val="31EF7D4F"/>
    <w:rsid w:val="32430CC6"/>
    <w:rsid w:val="32546D64"/>
    <w:rsid w:val="329B10DE"/>
    <w:rsid w:val="333D3C9C"/>
    <w:rsid w:val="33FB0C02"/>
    <w:rsid w:val="34D31369"/>
    <w:rsid w:val="34F62354"/>
    <w:rsid w:val="356B2D42"/>
    <w:rsid w:val="36394C8F"/>
    <w:rsid w:val="36BC432E"/>
    <w:rsid w:val="37344B11"/>
    <w:rsid w:val="377F7231"/>
    <w:rsid w:val="380B04EE"/>
    <w:rsid w:val="38230A27"/>
    <w:rsid w:val="39B759DC"/>
    <w:rsid w:val="3A66589C"/>
    <w:rsid w:val="3AD40D45"/>
    <w:rsid w:val="3C9B3F0D"/>
    <w:rsid w:val="3D791D75"/>
    <w:rsid w:val="3D7D1865"/>
    <w:rsid w:val="3E180332"/>
    <w:rsid w:val="3E755492"/>
    <w:rsid w:val="3E9A35EA"/>
    <w:rsid w:val="3F375E56"/>
    <w:rsid w:val="3FCC17BF"/>
    <w:rsid w:val="413E52A6"/>
    <w:rsid w:val="424F5E90"/>
    <w:rsid w:val="43014CE6"/>
    <w:rsid w:val="433C187A"/>
    <w:rsid w:val="43CD1C56"/>
    <w:rsid w:val="440D6A7E"/>
    <w:rsid w:val="44167592"/>
    <w:rsid w:val="441743AC"/>
    <w:rsid w:val="44A67AAA"/>
    <w:rsid w:val="44F06DBE"/>
    <w:rsid w:val="45D87F80"/>
    <w:rsid w:val="46152C06"/>
    <w:rsid w:val="493572AC"/>
    <w:rsid w:val="4A161BF9"/>
    <w:rsid w:val="4BC420CA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ED45FE"/>
    <w:rsid w:val="4EFA455B"/>
    <w:rsid w:val="4F8E0BB0"/>
    <w:rsid w:val="4FAD0B0A"/>
    <w:rsid w:val="50046FE1"/>
    <w:rsid w:val="50A56230"/>
    <w:rsid w:val="51525BFD"/>
    <w:rsid w:val="52AB30AC"/>
    <w:rsid w:val="536D17D1"/>
    <w:rsid w:val="54077271"/>
    <w:rsid w:val="541D7131"/>
    <w:rsid w:val="55097B6F"/>
    <w:rsid w:val="5522395C"/>
    <w:rsid w:val="565521FB"/>
    <w:rsid w:val="58CD4FF7"/>
    <w:rsid w:val="5A9D0C7E"/>
    <w:rsid w:val="5C3E74B9"/>
    <w:rsid w:val="5CE92917"/>
    <w:rsid w:val="5CE96177"/>
    <w:rsid w:val="5D2B7514"/>
    <w:rsid w:val="5D2D5AA6"/>
    <w:rsid w:val="5D457CC7"/>
    <w:rsid w:val="5D531E62"/>
    <w:rsid w:val="5F300020"/>
    <w:rsid w:val="5FA171DD"/>
    <w:rsid w:val="61227757"/>
    <w:rsid w:val="614E520A"/>
    <w:rsid w:val="6171338B"/>
    <w:rsid w:val="627D7586"/>
    <w:rsid w:val="637569B7"/>
    <w:rsid w:val="64726B48"/>
    <w:rsid w:val="6856397E"/>
    <w:rsid w:val="68FC6194"/>
    <w:rsid w:val="692E7D33"/>
    <w:rsid w:val="6A7A3035"/>
    <w:rsid w:val="6CDB39FC"/>
    <w:rsid w:val="6D47333A"/>
    <w:rsid w:val="6DFA0AFC"/>
    <w:rsid w:val="6EFF130B"/>
    <w:rsid w:val="6F5D25D6"/>
    <w:rsid w:val="71824EFF"/>
    <w:rsid w:val="71A321F2"/>
    <w:rsid w:val="724655C0"/>
    <w:rsid w:val="72A55860"/>
    <w:rsid w:val="72CB2403"/>
    <w:rsid w:val="74051691"/>
    <w:rsid w:val="75EE4089"/>
    <w:rsid w:val="76114D74"/>
    <w:rsid w:val="766A591C"/>
    <w:rsid w:val="77821767"/>
    <w:rsid w:val="77E90049"/>
    <w:rsid w:val="77FF2280"/>
    <w:rsid w:val="79232244"/>
    <w:rsid w:val="79E06FCB"/>
    <w:rsid w:val="79E104AA"/>
    <w:rsid w:val="79EB1329"/>
    <w:rsid w:val="7A2D2064"/>
    <w:rsid w:val="7B1D5512"/>
    <w:rsid w:val="7B78070C"/>
    <w:rsid w:val="7BC00DE2"/>
    <w:rsid w:val="7BDD99FA"/>
    <w:rsid w:val="7C036DFE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next w:val="7"/>
    <w:qFormat/>
    <w:uiPriority w:val="99"/>
    <w:pPr>
      <w:ind w:left="630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3">
    <w:name w:val="Body Text First Indent 2"/>
    <w:basedOn w:val="6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2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2755</Words>
  <Characters>2859</Characters>
  <Lines>0</Lines>
  <Paragraphs>0</Paragraphs>
  <TotalTime>1</TotalTime>
  <ScaleCrop>false</ScaleCrop>
  <LinksUpToDate>false</LinksUpToDate>
  <CharactersWithSpaces>2876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2022-07-17T01:06:00Z</cp:lastPrinted>
  <dcterms:modified xsi:type="dcterms:W3CDTF">2023-02-27T01:16:39Z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2A7995865E58460F9113C7D2CCFE6E11</vt:lpwstr>
  </property>
</Properties>
</file>