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szCs w:val="36"/>
        </w:rPr>
      </w:pPr>
      <w:r>
        <w:rPr>
          <w:rFonts w:hint="eastAsia"/>
          <w:b/>
          <w:bCs/>
          <w:color w:val="auto"/>
          <w:sz w:val="36"/>
          <w:szCs w:val="36"/>
        </w:rPr>
        <w:t>淮北市相王医药药品采购招标文件</w:t>
      </w:r>
    </w:p>
    <w:p>
      <w:pPr>
        <w:jc w:val="center"/>
        <w:rPr>
          <w:b/>
          <w:bCs/>
          <w:color w:val="auto"/>
          <w:sz w:val="28"/>
          <w:szCs w:val="28"/>
        </w:rPr>
      </w:pPr>
    </w:p>
    <w:p>
      <w:pPr>
        <w:jc w:val="center"/>
        <w:rPr>
          <w:b/>
          <w:bCs/>
          <w:color w:val="auto"/>
          <w:sz w:val="28"/>
          <w:szCs w:val="28"/>
        </w:rPr>
      </w:pPr>
      <w:r>
        <w:rPr>
          <w:rFonts w:hint="eastAsia"/>
          <w:b/>
          <w:bCs/>
          <w:color w:val="auto"/>
          <w:sz w:val="28"/>
          <w:szCs w:val="28"/>
        </w:rPr>
        <w:t>第一部分  投标须知</w:t>
      </w:r>
    </w:p>
    <w:p>
      <w:pPr>
        <w:jc w:val="left"/>
        <w:rPr>
          <w:color w:val="auto"/>
          <w:sz w:val="28"/>
          <w:szCs w:val="28"/>
        </w:rPr>
      </w:pPr>
      <w:r>
        <w:rPr>
          <w:rFonts w:hint="eastAsia"/>
          <w:b/>
          <w:bCs/>
          <w:color w:val="auto"/>
          <w:sz w:val="28"/>
          <w:szCs w:val="28"/>
        </w:rPr>
        <w:t>一、项目名称：</w:t>
      </w:r>
      <w:r>
        <w:rPr>
          <w:rFonts w:hint="eastAsia"/>
          <w:color w:val="auto"/>
          <w:sz w:val="28"/>
          <w:szCs w:val="28"/>
        </w:rPr>
        <w:t>淮北市相王医药药品采购</w:t>
      </w:r>
    </w:p>
    <w:p>
      <w:pPr>
        <w:jc w:val="left"/>
        <w:rPr>
          <w:color w:val="auto"/>
          <w:sz w:val="28"/>
          <w:szCs w:val="28"/>
        </w:rPr>
      </w:pPr>
      <w:r>
        <w:rPr>
          <w:rFonts w:hint="eastAsia"/>
          <w:b/>
          <w:bCs/>
          <w:color w:val="auto"/>
          <w:sz w:val="28"/>
          <w:szCs w:val="28"/>
        </w:rPr>
        <w:t>二、招标人：</w:t>
      </w:r>
      <w:r>
        <w:rPr>
          <w:rFonts w:hint="eastAsia"/>
          <w:color w:val="auto"/>
          <w:sz w:val="28"/>
          <w:szCs w:val="28"/>
        </w:rPr>
        <w:t>淮北市相王医药连锁有限公司</w:t>
      </w:r>
    </w:p>
    <w:p>
      <w:pPr>
        <w:autoSpaceDE w:val="0"/>
        <w:autoSpaceDN w:val="0"/>
        <w:adjustRightInd w:val="0"/>
        <w:snapToGrid w:val="0"/>
        <w:spacing w:line="360" w:lineRule="auto"/>
        <w:jc w:val="left"/>
        <w:rPr>
          <w:rFonts w:ascii="宋体" w:hAnsi="宋体" w:cs="宋体"/>
          <w:color w:val="auto"/>
          <w:sz w:val="28"/>
          <w:szCs w:val="28"/>
        </w:rPr>
      </w:pPr>
      <w:r>
        <w:rPr>
          <w:rFonts w:hint="eastAsia"/>
          <w:b/>
          <w:bCs/>
          <w:color w:val="auto"/>
          <w:sz w:val="28"/>
          <w:szCs w:val="28"/>
        </w:rPr>
        <w:t>三、项目内容：</w:t>
      </w:r>
      <w:r>
        <w:rPr>
          <w:rFonts w:hint="eastAsia"/>
          <w:color w:val="auto"/>
          <w:sz w:val="28"/>
          <w:szCs w:val="28"/>
        </w:rPr>
        <w:t>招标人以202</w:t>
      </w:r>
      <w:r>
        <w:rPr>
          <w:rFonts w:hint="eastAsia"/>
          <w:color w:val="auto"/>
          <w:sz w:val="28"/>
          <w:szCs w:val="28"/>
          <w:lang w:val="en-US" w:eastAsia="zh-CN"/>
        </w:rPr>
        <w:t>2</w:t>
      </w:r>
      <w:r>
        <w:rPr>
          <w:rFonts w:hint="eastAsia"/>
          <w:color w:val="auto"/>
          <w:sz w:val="28"/>
          <w:szCs w:val="28"/>
        </w:rPr>
        <w:t>年1月-202</w:t>
      </w:r>
      <w:r>
        <w:rPr>
          <w:rFonts w:hint="eastAsia"/>
          <w:color w:val="auto"/>
          <w:sz w:val="28"/>
          <w:szCs w:val="28"/>
          <w:lang w:val="en-US" w:eastAsia="zh-CN"/>
        </w:rPr>
        <w:t>2</w:t>
      </w:r>
      <w:r>
        <w:rPr>
          <w:rFonts w:hint="eastAsia"/>
          <w:color w:val="auto"/>
          <w:sz w:val="28"/>
          <w:szCs w:val="28"/>
        </w:rPr>
        <w:t>年12月淮北市相王医药连锁有限公司</w:t>
      </w:r>
      <w:r>
        <w:rPr>
          <w:rFonts w:hint="eastAsia"/>
          <w:color w:val="auto"/>
          <w:sz w:val="28"/>
          <w:szCs w:val="28"/>
          <w:lang w:val="en-US" w:eastAsia="zh-CN"/>
        </w:rPr>
        <w:t>下辖鹰山社区</w:t>
      </w:r>
      <w:r>
        <w:rPr>
          <w:rFonts w:hint="eastAsia"/>
          <w:color w:val="auto"/>
          <w:sz w:val="28"/>
          <w:szCs w:val="28"/>
        </w:rPr>
        <w:t>卫生服务站全年使用的</w:t>
      </w:r>
      <w:r>
        <w:rPr>
          <w:rFonts w:hint="eastAsia"/>
          <w:color w:val="auto"/>
          <w:sz w:val="28"/>
          <w:szCs w:val="28"/>
          <w:lang w:val="en-US" w:eastAsia="zh-CN"/>
        </w:rPr>
        <w:t>25</w:t>
      </w:r>
      <w:r>
        <w:rPr>
          <w:rFonts w:hint="eastAsia"/>
          <w:color w:val="auto"/>
          <w:sz w:val="28"/>
          <w:szCs w:val="28"/>
        </w:rPr>
        <w:t>9个品规药品为基础，一年的采购量。药品目录见附件</w:t>
      </w:r>
      <w:r>
        <w:rPr>
          <w:rFonts w:hint="eastAsia"/>
          <w:color w:val="auto"/>
          <w:sz w:val="28"/>
          <w:szCs w:val="28"/>
          <w:lang w:eastAsia="zh-CN"/>
        </w:rPr>
        <w:t>。</w:t>
      </w:r>
      <w:r>
        <w:rPr>
          <w:rFonts w:hint="eastAsia"/>
          <w:color w:val="auto"/>
          <w:sz w:val="28"/>
          <w:szCs w:val="28"/>
        </w:rPr>
        <w:t xml:space="preserve"> </w:t>
      </w:r>
    </w:p>
    <w:p>
      <w:pPr>
        <w:jc w:val="left"/>
        <w:rPr>
          <w:b/>
          <w:bCs/>
          <w:color w:val="auto"/>
          <w:sz w:val="28"/>
          <w:szCs w:val="28"/>
        </w:rPr>
      </w:pPr>
      <w:r>
        <w:rPr>
          <w:rFonts w:hint="eastAsia"/>
          <w:b/>
          <w:bCs/>
          <w:color w:val="auto"/>
          <w:sz w:val="28"/>
          <w:szCs w:val="28"/>
        </w:rPr>
        <w:t>四、投标人资格</w:t>
      </w:r>
    </w:p>
    <w:p>
      <w:pPr>
        <w:jc w:val="left"/>
        <w:rPr>
          <w:rFonts w:ascii="宋体" w:hAnsi="宋体" w:eastAsia="宋体" w:cs="宋体"/>
          <w:color w:val="auto"/>
          <w:sz w:val="28"/>
          <w:szCs w:val="28"/>
        </w:rPr>
      </w:pPr>
      <w:r>
        <w:rPr>
          <w:rFonts w:hint="eastAsia"/>
          <w:color w:val="auto"/>
          <w:sz w:val="28"/>
          <w:szCs w:val="28"/>
        </w:rPr>
        <w:t>（一）投标人</w:t>
      </w:r>
      <w:r>
        <w:rPr>
          <w:rFonts w:hint="eastAsia" w:ascii="宋体" w:hAnsi="宋体" w:eastAsia="宋体" w:cs="宋体"/>
          <w:color w:val="auto"/>
          <w:sz w:val="28"/>
          <w:szCs w:val="28"/>
        </w:rPr>
        <w:t>必须是有能力提供本项目所需服务的法人或其他组织。</w:t>
      </w:r>
    </w:p>
    <w:p>
      <w:pPr>
        <w:jc w:val="left"/>
        <w:rPr>
          <w:rFonts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人须具有合法有效的《营业执照》、组织机构代码证、税务登记证副本复印件（或三证合一的有效证件）。</w:t>
      </w:r>
    </w:p>
    <w:p>
      <w:pPr>
        <w:jc w:val="left"/>
        <w:rPr>
          <w:rFonts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人须具有合法有效的《药品经营许可证》。</w:t>
      </w:r>
    </w:p>
    <w:p>
      <w:pPr>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（四）</w:t>
      </w:r>
      <w:r>
        <w:rPr>
          <w:rFonts w:hint="eastAsia" w:asciiTheme="minorEastAsia" w:hAnsiTheme="minorEastAsia" w:cstheme="minorEastAsia"/>
          <w:color w:val="auto"/>
          <w:sz w:val="28"/>
          <w:szCs w:val="28"/>
        </w:rPr>
        <w:t>投标人须在近三年内参与的项目中，没有因违规、违纪受到处罚；配送的药品须在近三年内没有发生过重大质量、安全事故。</w:t>
      </w:r>
    </w:p>
    <w:p>
      <w:pPr>
        <w:jc w:val="left"/>
        <w:rPr>
          <w:b/>
          <w:bCs/>
          <w:color w:val="auto"/>
          <w:sz w:val="28"/>
          <w:szCs w:val="28"/>
        </w:rPr>
      </w:pPr>
      <w:r>
        <w:rPr>
          <w:rFonts w:hint="eastAsia"/>
          <w:b/>
          <w:bCs/>
          <w:color w:val="auto"/>
          <w:sz w:val="28"/>
          <w:szCs w:val="28"/>
        </w:rPr>
        <w:t>五、投标保证金</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（一）投标人需分标段缴纳投标保证金。其中，第一标段投标保证金为</w:t>
      </w:r>
      <w:r>
        <w:rPr>
          <w:rFonts w:hint="eastAsia" w:asciiTheme="minorEastAsia" w:hAnsiTheme="minorEastAsia" w:cstheme="minorEastAsia"/>
          <w:color w:val="auto"/>
          <w:sz w:val="28"/>
          <w:szCs w:val="28"/>
          <w:lang w:val="en-US" w:eastAsia="zh-CN"/>
        </w:rPr>
        <w:t>1.5</w:t>
      </w:r>
      <w:r>
        <w:rPr>
          <w:rFonts w:hint="eastAsia" w:asciiTheme="minorEastAsia" w:hAnsiTheme="minorEastAsia" w:cstheme="minorEastAsia"/>
          <w:color w:val="auto"/>
          <w:sz w:val="28"/>
          <w:szCs w:val="28"/>
        </w:rPr>
        <w:t>万元，第二标段投标保证金为</w:t>
      </w:r>
      <w:r>
        <w:rPr>
          <w:rFonts w:hint="eastAsia" w:asciiTheme="minorEastAsia" w:hAnsiTheme="minorEastAsia" w:cstheme="minorEastAsia"/>
          <w:color w:val="auto"/>
          <w:sz w:val="28"/>
          <w:szCs w:val="28"/>
          <w:lang w:val="en-US" w:eastAsia="zh-CN"/>
        </w:rPr>
        <w:t>0.4</w:t>
      </w:r>
      <w:r>
        <w:rPr>
          <w:rFonts w:hint="eastAsia" w:asciiTheme="minorEastAsia" w:hAnsiTheme="minorEastAsia" w:cstheme="minorEastAsia"/>
          <w:color w:val="auto"/>
          <w:sz w:val="28"/>
          <w:szCs w:val="28"/>
        </w:rPr>
        <w:t>万元，第三标段投标保证金为</w:t>
      </w:r>
      <w:r>
        <w:rPr>
          <w:rFonts w:hint="eastAsia" w:asciiTheme="minorEastAsia" w:hAnsiTheme="minorEastAsia" w:cstheme="minorEastAsia"/>
          <w:color w:val="auto"/>
          <w:sz w:val="28"/>
          <w:szCs w:val="28"/>
          <w:lang w:val="en-US" w:eastAsia="zh-CN"/>
        </w:rPr>
        <w:t>0.1</w:t>
      </w:r>
      <w:r>
        <w:rPr>
          <w:rFonts w:hint="eastAsia" w:asciiTheme="minorEastAsia" w:hAnsiTheme="minorEastAsia" w:cstheme="minorEastAsia"/>
          <w:color w:val="auto"/>
          <w:sz w:val="28"/>
          <w:szCs w:val="28"/>
        </w:rPr>
        <w:t>万元。投标保证金以转账方式从其基本账户缴纳。如在</w:t>
      </w:r>
      <w:r>
        <w:rPr>
          <w:rFonts w:hint="eastAsia" w:asciiTheme="minorEastAsia" w:hAnsiTheme="minorEastAsia" w:cstheme="minorEastAsia"/>
          <w:b/>
          <w:bCs/>
          <w:color w:val="auto"/>
          <w:sz w:val="28"/>
          <w:szCs w:val="28"/>
          <w:lang w:val="en-US" w:eastAsia="zh-CN"/>
        </w:rPr>
        <w:t>开标</w:t>
      </w:r>
      <w:r>
        <w:rPr>
          <w:rFonts w:hint="eastAsia" w:asciiTheme="minorEastAsia" w:hAnsiTheme="minorEastAsia" w:cstheme="minorEastAsia"/>
          <w:b/>
          <w:bCs/>
          <w:color w:val="auto"/>
          <w:sz w:val="28"/>
          <w:szCs w:val="28"/>
        </w:rPr>
        <w:t>前</w:t>
      </w:r>
      <w:r>
        <w:rPr>
          <w:rFonts w:hint="eastAsia" w:asciiTheme="minorEastAsia" w:hAnsiTheme="minorEastAsia" w:cstheme="minorEastAsia"/>
          <w:color w:val="auto"/>
          <w:sz w:val="28"/>
          <w:szCs w:val="28"/>
        </w:rPr>
        <w:t>投标人未交纳投标保证金的，招标人将拒收其投标文件。评标结束后，拟中标单位投标保证金由招标人留置，第一次月计划量药品验收合格后一周内无息退还。其他单位的投标保证金投标结束后在次月十五号后一周内无息退还。投标保证金请汇至：</w:t>
      </w:r>
    </w:p>
    <w:p>
      <w:pPr>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名称：安徽相王医疗健康股份有限公司</w:t>
      </w:r>
    </w:p>
    <w:p>
      <w:pPr>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开户行：中国工商银行股份有限公司淮北人民东路支行</w:t>
      </w:r>
    </w:p>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lang w:val="en-US" w:eastAsia="zh-CN"/>
        </w:rPr>
        <w:t xml:space="preserve">账号：9558851305000004078  </w:t>
      </w:r>
      <w:r>
        <w:rPr>
          <w:rFonts w:hint="eastAsia" w:asciiTheme="minorEastAsia" w:hAnsiTheme="minorEastAsia" w:cstheme="minorEastAsia"/>
          <w:color w:val="auto"/>
          <w:sz w:val="28"/>
          <w:szCs w:val="28"/>
        </w:rPr>
        <w:t> </w:t>
      </w:r>
    </w:p>
    <w:p>
      <w:pPr>
        <w:numPr>
          <w:ilvl w:val="0"/>
          <w:numId w:val="1"/>
        </w:numPr>
        <w:snapToGrid w:val="0"/>
        <w:spacing w:line="360" w:lineRule="auto"/>
        <w:jc w:val="left"/>
        <w:rPr>
          <w:rFonts w:cs="宋体"/>
          <w:color w:val="auto"/>
          <w:sz w:val="28"/>
          <w:szCs w:val="28"/>
        </w:rPr>
      </w:pPr>
      <w:r>
        <w:rPr>
          <w:rFonts w:hint="eastAsia" w:cs="宋体"/>
          <w:color w:val="auto"/>
          <w:sz w:val="28"/>
          <w:szCs w:val="28"/>
        </w:rPr>
        <w:t>投标截止后投标人撤销投标文件的以及投标人中标后拒绝签订合同的，投标保证金不予退还。</w:t>
      </w:r>
    </w:p>
    <w:p>
      <w:pPr>
        <w:numPr>
          <w:ilvl w:val="0"/>
          <w:numId w:val="2"/>
        </w:num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标段控制价及投标文件递交方式</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本项目共三个标段。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一标段控制价：919458.74 元</w:t>
      </w:r>
      <w:r>
        <w:rPr>
          <w:rFonts w:hint="eastAsia" w:asciiTheme="minorEastAsia" w:hAnsiTheme="minorEastAsia" w:cstheme="minorEastAsia"/>
          <w:color w:val="auto"/>
          <w:sz w:val="28"/>
          <w:szCs w:val="28"/>
          <w:lang w:eastAsia="zh-CN"/>
        </w:rPr>
        <w:t>，控制价清单见附件：《一标段 鹰山社区心脑血管类药品采购清单》；</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二标段控制价：233780.26 元；</w:t>
      </w:r>
      <w:r>
        <w:rPr>
          <w:rFonts w:hint="eastAsia" w:asciiTheme="minorEastAsia" w:hAnsiTheme="minorEastAsia" w:cstheme="minorEastAsia"/>
          <w:color w:val="auto"/>
          <w:sz w:val="28"/>
          <w:szCs w:val="28"/>
          <w:lang w:eastAsia="zh-CN"/>
        </w:rPr>
        <w:t>控制价清单见附件：《二标段 鹰山社区降糖类药品采购清单》</w:t>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三标段控制价：</w:t>
      </w:r>
      <w:r>
        <w:rPr>
          <w:rFonts w:hint="eastAsia" w:asciiTheme="minorEastAsia" w:hAnsiTheme="minorEastAsia" w:cstheme="minorEastAsia"/>
          <w:color w:val="auto"/>
          <w:sz w:val="28"/>
          <w:szCs w:val="28"/>
          <w:lang w:val="en-US" w:eastAsia="zh-CN"/>
        </w:rPr>
        <w:t xml:space="preserve">67869.25 </w:t>
      </w:r>
      <w:r>
        <w:rPr>
          <w:rFonts w:hint="eastAsia" w:asciiTheme="minorEastAsia" w:hAnsiTheme="minorEastAsia" w:cstheme="minorEastAsia"/>
          <w:color w:val="auto"/>
          <w:sz w:val="28"/>
          <w:szCs w:val="28"/>
        </w:rPr>
        <w:t>元。</w:t>
      </w:r>
      <w:r>
        <w:rPr>
          <w:rFonts w:hint="eastAsia" w:asciiTheme="minorEastAsia" w:hAnsiTheme="minorEastAsia" w:cstheme="minorEastAsia"/>
          <w:color w:val="auto"/>
          <w:sz w:val="28"/>
          <w:szCs w:val="28"/>
          <w:lang w:eastAsia="zh-CN"/>
        </w:rPr>
        <w:t>控制价清单见附件：《三标段 鹰山社区其他类药品采购清单》。</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符合资格的投标人允许兼投兼中。</w:t>
      </w:r>
      <w:r>
        <w:rPr>
          <w:rFonts w:hint="eastAsia" w:asciiTheme="minorEastAsia" w:hAnsiTheme="minorEastAsia" w:cstheme="minorEastAsia"/>
          <w:color w:val="auto"/>
          <w:sz w:val="28"/>
          <w:szCs w:val="28"/>
        </w:rPr>
        <w:t>投标人如参与多个标段，不可多个标段投标文件放在同一个标书中。</w:t>
      </w:r>
      <w:r>
        <w:rPr>
          <w:rFonts w:hint="eastAsia" w:asciiTheme="minorEastAsia" w:hAnsiTheme="minorEastAsia" w:cstheme="minorEastAsia"/>
          <w:b/>
          <w:bCs/>
          <w:color w:val="auto"/>
          <w:sz w:val="28"/>
          <w:szCs w:val="28"/>
        </w:rPr>
        <w:t>每个标段资格标与商务标分开装订密封。</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投标文件递交方式见招标公告。</w:t>
      </w:r>
    </w:p>
    <w:p>
      <w:pPr>
        <w:snapToGrid w:val="0"/>
        <w:spacing w:line="360" w:lineRule="auto"/>
        <w:jc w:val="left"/>
        <w:rPr>
          <w:rFonts w:asciiTheme="minorEastAsia" w:hAnsiTheme="minorEastAsia" w:cstheme="minorEastAsia"/>
          <w:b/>
          <w:bCs/>
          <w:color w:val="auto"/>
          <w:sz w:val="28"/>
          <w:szCs w:val="28"/>
        </w:rPr>
      </w:pPr>
      <w:r>
        <w:rPr>
          <w:rFonts w:hint="eastAsia" w:cs="宋体"/>
          <w:b/>
          <w:bCs/>
          <w:color w:val="auto"/>
          <w:sz w:val="28"/>
          <w:szCs w:val="28"/>
        </w:rPr>
        <w:t>七</w:t>
      </w:r>
      <w:r>
        <w:rPr>
          <w:rFonts w:hint="eastAsia" w:asciiTheme="minorEastAsia" w:hAnsiTheme="minorEastAsia" w:cstheme="minorEastAsia"/>
          <w:b/>
          <w:bCs/>
          <w:color w:val="auto"/>
          <w:sz w:val="28"/>
          <w:szCs w:val="28"/>
        </w:rPr>
        <w:t>、中标服务费</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第一标段中标人须以现金缴纳 2000元中标服务费，第二标段中标人须以现金缴纳 2000元中标服务费，第三标段中标人须以现金缴纳 </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00元中标服务费。</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八、合同签订期限</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中标人应于接到中标通知书后的30日内签订合同并签署对应廉政合同。</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九、报名方式与报名截止时间</w:t>
      </w:r>
      <w:r>
        <w:rPr>
          <w:rFonts w:hint="eastAsia" w:asciiTheme="minorEastAsia" w:hAnsiTheme="minorEastAsia" w:cstheme="minorEastAsia"/>
          <w:b/>
          <w:bCs/>
          <w:color w:val="auto"/>
          <w:sz w:val="28"/>
          <w:szCs w:val="28"/>
        </w:rPr>
        <w:tab/>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采取网上报名，于202</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日下午17：00前，将投标单位的营业执照影印件、单位联系方式</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开票信息、纳税人识别号</w:t>
      </w:r>
      <w:r>
        <w:rPr>
          <w:rFonts w:hint="eastAsia" w:asciiTheme="minorEastAsia" w:hAnsiTheme="minorEastAsia" w:cstheme="minorEastAsia"/>
          <w:color w:val="auto"/>
          <w:sz w:val="28"/>
          <w:szCs w:val="28"/>
        </w:rPr>
        <w:t>通过电子邮件形式发送至邮箱xwjkzbcg@126.com。</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w:t>
      </w:r>
      <w:r>
        <w:rPr>
          <w:rFonts w:hint="eastAsia" w:asciiTheme="minorEastAsia" w:hAnsiTheme="minorEastAsia" w:cstheme="minorEastAsia"/>
          <w:b/>
          <w:bCs/>
          <w:color w:val="auto"/>
          <w:sz w:val="28"/>
          <w:szCs w:val="28"/>
          <w:lang w:eastAsia="zh-CN"/>
        </w:rPr>
        <w:t>开标</w:t>
      </w:r>
      <w:bookmarkStart w:id="1" w:name="_GoBack"/>
      <w:bookmarkEnd w:id="1"/>
      <w:r>
        <w:rPr>
          <w:rFonts w:hint="eastAsia" w:asciiTheme="minorEastAsia" w:hAnsiTheme="minorEastAsia" w:cstheme="minorEastAsia"/>
          <w:b/>
          <w:bCs/>
          <w:color w:val="auto"/>
          <w:sz w:val="28"/>
          <w:szCs w:val="28"/>
        </w:rPr>
        <w:t>时间与地点</w:t>
      </w:r>
    </w:p>
    <w:p>
      <w:pPr>
        <w:snapToGrid w:val="0"/>
        <w:spacing w:line="360" w:lineRule="auto"/>
        <w:jc w:val="left"/>
        <w:rPr>
          <w:color w:val="auto"/>
          <w:sz w:val="28"/>
          <w:szCs w:val="28"/>
        </w:rPr>
      </w:pPr>
      <w:r>
        <w:rPr>
          <w:rFonts w:hint="eastAsia" w:cs="宋体"/>
          <w:color w:val="auto"/>
          <w:sz w:val="28"/>
          <w:szCs w:val="28"/>
        </w:rPr>
        <w:t>（一）开标时间：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下</w:t>
      </w:r>
      <w:r>
        <w:rPr>
          <w:rFonts w:hint="eastAsia" w:ascii="宋体" w:hAnsi="宋体" w:eastAsia="宋体" w:cs="宋体"/>
          <w:color w:val="auto"/>
          <w:sz w:val="28"/>
          <w:szCs w:val="28"/>
        </w:rPr>
        <w:t>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w:t>
      </w:r>
      <w:r>
        <w:rPr>
          <w:rFonts w:hint="eastAsia" w:cs="宋体"/>
          <w:color w:val="auto"/>
          <w:sz w:val="28"/>
          <w:szCs w:val="28"/>
          <w:lang w:val="en-US" w:eastAsia="zh-CN"/>
        </w:rPr>
        <w:t>安徽</w:t>
      </w:r>
      <w:r>
        <w:rPr>
          <w:rFonts w:hint="eastAsia" w:cs="宋体"/>
          <w:color w:val="auto"/>
          <w:sz w:val="28"/>
          <w:szCs w:val="28"/>
        </w:rPr>
        <w:t>皖北康复医院7号楼2楼会议室。</w:t>
      </w:r>
    </w:p>
    <w:p>
      <w:pPr>
        <w:snapToGrid w:val="0"/>
        <w:spacing w:line="360" w:lineRule="auto"/>
        <w:jc w:val="left"/>
        <w:rPr>
          <w:rFonts w:hint="eastAsia" w:ascii="宋体" w:hAnsi="宋体" w:eastAsia="宋体" w:cs="宋体"/>
          <w:color w:val="auto"/>
          <w:sz w:val="28"/>
          <w:szCs w:val="28"/>
          <w:lang w:val="en-US" w:eastAsia="zh-CN"/>
        </w:rPr>
      </w:pPr>
      <w:r>
        <w:rPr>
          <w:rFonts w:hint="eastAsia" w:cs="宋体"/>
          <w:color w:val="auto"/>
          <w:sz w:val="28"/>
          <w:szCs w:val="28"/>
        </w:rPr>
        <w:t>（三）投标截止时间：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下</w:t>
      </w:r>
      <w:r>
        <w:rPr>
          <w:rFonts w:hint="eastAsia" w:ascii="宋体" w:hAnsi="宋体" w:eastAsia="宋体" w:cs="宋体"/>
          <w:color w:val="auto"/>
          <w:sz w:val="28"/>
          <w:szCs w:val="28"/>
        </w:rPr>
        <w:t>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十一、投标文件的澄清与说明</w:t>
      </w:r>
    </w:p>
    <w:p>
      <w:pPr>
        <w:pStyle w:val="8"/>
        <w:snapToGrid w:val="0"/>
        <w:spacing w:line="360" w:lineRule="auto"/>
        <w:jc w:val="left"/>
        <w:rPr>
          <w:rFonts w:asciiTheme="minorEastAsia" w:hAnsiTheme="minorEastAsia" w:cstheme="minorEastAsia"/>
          <w:b/>
          <w:bCs/>
          <w:color w:val="auto"/>
        </w:rPr>
      </w:pPr>
      <w:r>
        <w:rPr>
          <w:rFonts w:hint="eastAsia" w:ascii="Calibri" w:hAnsi="Calibri" w:eastAsia="宋体" w:cs="宋体"/>
          <w:color w:val="auto"/>
        </w:rPr>
        <w:t>投标人如对招标文件提出质疑，请在202</w:t>
      </w:r>
      <w:r>
        <w:rPr>
          <w:rFonts w:hint="eastAsia" w:ascii="Calibri" w:hAnsi="Calibri" w:eastAsia="宋体" w:cs="宋体"/>
          <w:color w:val="auto"/>
          <w:lang w:val="en-US" w:eastAsia="zh-CN"/>
        </w:rPr>
        <w:t>3</w:t>
      </w:r>
      <w:r>
        <w:rPr>
          <w:rFonts w:hint="eastAsia" w:ascii="Calibri" w:hAnsi="Calibri" w:eastAsia="宋体" w:cs="宋体"/>
          <w:color w:val="auto"/>
        </w:rPr>
        <w:t>年</w:t>
      </w:r>
      <w:r>
        <w:rPr>
          <w:rFonts w:hint="eastAsia" w:ascii="Calibri" w:hAnsi="Calibri" w:eastAsia="宋体" w:cs="宋体"/>
          <w:color w:val="auto"/>
          <w:lang w:val="en-US" w:eastAsia="zh-CN"/>
        </w:rPr>
        <w:t>3</w:t>
      </w:r>
      <w:r>
        <w:rPr>
          <w:rFonts w:hint="eastAsia" w:ascii="Calibri" w:hAnsi="Calibri" w:eastAsia="宋体" w:cs="宋体"/>
          <w:color w:val="auto"/>
        </w:rPr>
        <w:t>月</w:t>
      </w:r>
      <w:r>
        <w:rPr>
          <w:rFonts w:hint="eastAsia" w:ascii="Calibri" w:hAnsi="Calibri" w:eastAsia="宋体" w:cs="宋体"/>
          <w:color w:val="auto"/>
          <w:lang w:val="en-US" w:eastAsia="zh-CN"/>
        </w:rPr>
        <w:t>3</w:t>
      </w:r>
      <w:r>
        <w:rPr>
          <w:rFonts w:hint="eastAsia" w:ascii="Calibri" w:hAnsi="Calibri" w:eastAsia="宋体" w:cs="宋体"/>
          <w:color w:val="auto"/>
        </w:rPr>
        <w:t>日上午11：</w:t>
      </w:r>
      <w:r>
        <w:rPr>
          <w:color w:val="auto"/>
        </w:rPr>
        <w:fldChar w:fldCharType="begin"/>
      </w:r>
      <w:r>
        <w:rPr>
          <w:color w:val="auto"/>
        </w:rPr>
        <w:instrText xml:space="preserve"> HYPERLINK "mailto:00前以不署名电子邮件形式发送至邮箱2295829959@QQ.com，招标人于2022年4月" </w:instrText>
      </w:r>
      <w:r>
        <w:rPr>
          <w:color w:val="auto"/>
        </w:rPr>
        <w:fldChar w:fldCharType="separate"/>
      </w:r>
      <w:r>
        <w:rPr>
          <w:rStyle w:val="14"/>
          <w:rFonts w:hint="eastAsia" w:ascii="Calibri" w:hAnsi="Calibri" w:eastAsia="宋体" w:cs="宋体"/>
          <w:color w:val="auto"/>
          <w:u w:val="none"/>
        </w:rPr>
        <w:t>00前以不署名电子邮件形式发送至邮箱</w:t>
      </w:r>
      <w:r>
        <w:rPr>
          <w:rFonts w:hint="eastAsia" w:asciiTheme="minorEastAsia" w:hAnsiTheme="minorEastAsia" w:cstheme="minorEastAsia"/>
          <w:color w:val="auto"/>
        </w:rPr>
        <w:t>xwjkzbcg@126.com</w:t>
      </w:r>
      <w:r>
        <w:rPr>
          <w:rStyle w:val="14"/>
          <w:rFonts w:hint="eastAsia" w:ascii="Calibri" w:hAnsi="Calibri" w:eastAsia="宋体" w:cs="宋体"/>
          <w:color w:val="auto"/>
          <w:u w:val="none"/>
        </w:rPr>
        <w:t>，招标人于202</w:t>
      </w:r>
      <w:r>
        <w:rPr>
          <w:rStyle w:val="14"/>
          <w:rFonts w:hint="eastAsia" w:ascii="Calibri" w:hAnsi="Calibri" w:eastAsia="宋体" w:cs="宋体"/>
          <w:color w:val="auto"/>
          <w:u w:val="none"/>
          <w:lang w:val="en-US" w:eastAsia="zh-CN"/>
        </w:rPr>
        <w:t>3</w:t>
      </w:r>
      <w:r>
        <w:rPr>
          <w:rStyle w:val="14"/>
          <w:rFonts w:hint="eastAsia" w:ascii="Calibri" w:hAnsi="Calibri" w:eastAsia="宋体" w:cs="宋体"/>
          <w:color w:val="auto"/>
          <w:u w:val="none"/>
        </w:rPr>
        <w:t>年</w:t>
      </w:r>
      <w:r>
        <w:rPr>
          <w:rStyle w:val="14"/>
          <w:rFonts w:hint="eastAsia" w:ascii="Calibri" w:hAnsi="Calibri" w:eastAsia="宋体" w:cs="宋体"/>
          <w:color w:val="auto"/>
          <w:u w:val="none"/>
          <w:lang w:val="en-US" w:eastAsia="zh-CN"/>
        </w:rPr>
        <w:t>3</w:t>
      </w:r>
      <w:r>
        <w:rPr>
          <w:rStyle w:val="14"/>
          <w:rFonts w:hint="eastAsia" w:ascii="Calibri" w:hAnsi="Calibri" w:eastAsia="宋体" w:cs="宋体"/>
          <w:color w:val="auto"/>
          <w:u w:val="none"/>
        </w:rPr>
        <w:t>月</w:t>
      </w:r>
      <w:r>
        <w:rPr>
          <w:rStyle w:val="14"/>
          <w:rFonts w:hint="eastAsia" w:ascii="Calibri" w:hAnsi="Calibri" w:eastAsia="宋体" w:cs="宋体"/>
          <w:color w:val="auto"/>
          <w:u w:val="none"/>
        </w:rPr>
        <w:fldChar w:fldCharType="end"/>
      </w:r>
      <w:r>
        <w:rPr>
          <w:rStyle w:val="14"/>
          <w:rFonts w:hint="eastAsia" w:ascii="Calibri" w:hAnsi="Calibri" w:eastAsia="宋体" w:cs="宋体"/>
          <w:color w:val="auto"/>
          <w:u w:val="none"/>
          <w:lang w:val="en-US" w:eastAsia="zh-CN"/>
        </w:rPr>
        <w:t>3</w:t>
      </w:r>
      <w:r>
        <w:rPr>
          <w:rFonts w:hint="eastAsia" w:ascii="Calibri" w:hAnsi="Calibri" w:eastAsia="宋体" w:cs="宋体"/>
          <w:color w:val="auto"/>
        </w:rPr>
        <w:t>日下午17：00</w:t>
      </w:r>
      <w:r>
        <w:rPr>
          <w:rFonts w:hint="eastAsia" w:asciiTheme="minorEastAsia" w:hAnsiTheme="minorEastAsia" w:cstheme="minorEastAsia"/>
          <w:color w:val="auto"/>
        </w:rPr>
        <w:t>前</w:t>
      </w:r>
      <w:r>
        <w:rPr>
          <w:rFonts w:hint="eastAsia" w:ascii="Calibri" w:hAnsi="Calibri" w:eastAsia="宋体" w:cs="宋体"/>
          <w:color w:val="auto"/>
        </w:rPr>
        <w:t>在安徽皖北康复医院官网和安徽省招标投标信息网予以公告统一答复，逾期的质疑概不受理，开标后不得对招标文件的内容或条款提出质疑。</w:t>
      </w:r>
    </w:p>
    <w:p>
      <w:pPr>
        <w:pStyle w:val="8"/>
        <w:snapToGrid w:val="0"/>
        <w:spacing w:line="360" w:lineRule="auto"/>
        <w:jc w:val="left"/>
        <w:rPr>
          <w:rFonts w:asciiTheme="minorEastAsia" w:hAnsiTheme="minorEastAsia" w:cstheme="minorEastAsia"/>
          <w:color w:val="auto"/>
        </w:rPr>
      </w:pPr>
      <w:r>
        <w:rPr>
          <w:rFonts w:hint="eastAsia" w:asciiTheme="minorEastAsia" w:hAnsiTheme="minorEastAsia" w:cstheme="minorEastAsia"/>
          <w:b/>
          <w:bCs/>
          <w:color w:val="auto"/>
        </w:rPr>
        <w:t>十二、评标办法：</w:t>
      </w:r>
      <w:r>
        <w:rPr>
          <w:rFonts w:hint="eastAsia" w:asciiTheme="minorEastAsia" w:hAnsiTheme="minorEastAsia" w:cstheme="minorEastAsia"/>
          <w:color w:val="auto"/>
        </w:rPr>
        <w:t>最低价评标法。</w:t>
      </w:r>
    </w:p>
    <w:p>
      <w:pPr>
        <w:pStyle w:val="8"/>
        <w:snapToGrid w:val="0"/>
        <w:spacing w:line="360" w:lineRule="auto"/>
        <w:jc w:val="left"/>
        <w:rPr>
          <w:rFonts w:asciiTheme="minorEastAsia" w:hAnsiTheme="minorEastAsia" w:cstheme="minorEastAsia"/>
          <w:color w:val="auto"/>
        </w:rPr>
      </w:pPr>
      <w:r>
        <w:rPr>
          <w:rFonts w:asciiTheme="minorEastAsia" w:hAnsiTheme="minorEastAsia" w:cstheme="minorEastAsia"/>
          <w:b/>
          <w:bCs/>
          <w:color w:val="auto"/>
        </w:rPr>
        <w:t>十</w:t>
      </w:r>
      <w:r>
        <w:rPr>
          <w:rFonts w:hint="eastAsia" w:asciiTheme="minorEastAsia" w:hAnsiTheme="minorEastAsia" w:cstheme="minorEastAsia"/>
          <w:b/>
          <w:bCs/>
          <w:color w:val="auto"/>
        </w:rPr>
        <w:t>三</w:t>
      </w:r>
      <w:r>
        <w:rPr>
          <w:rFonts w:asciiTheme="minorEastAsia" w:hAnsiTheme="minorEastAsia" w:cstheme="minorEastAsia"/>
          <w:b/>
          <w:bCs/>
          <w:color w:val="auto"/>
        </w:rPr>
        <w:t>、资格审查:</w:t>
      </w:r>
      <w:r>
        <w:rPr>
          <w:rFonts w:asciiTheme="minorEastAsia" w:hAnsiTheme="minorEastAsia" w:cstheme="minorEastAsia"/>
          <w:color w:val="auto"/>
        </w:rPr>
        <w:t>资格后审。</w:t>
      </w:r>
    </w:p>
    <w:p>
      <w:pPr>
        <w:pStyle w:val="8"/>
        <w:snapToGrid w:val="0"/>
        <w:spacing w:line="360" w:lineRule="auto"/>
        <w:jc w:val="left"/>
        <w:rPr>
          <w:rFonts w:asciiTheme="minorEastAsia" w:hAnsiTheme="minorEastAsia" w:cstheme="minorEastAsia"/>
          <w:b/>
          <w:bCs/>
          <w:color w:val="auto"/>
        </w:rPr>
      </w:pPr>
      <w:r>
        <w:rPr>
          <w:rFonts w:hint="eastAsia" w:asciiTheme="minorEastAsia" w:hAnsiTheme="minorEastAsia" w:cstheme="minorEastAsia"/>
          <w:b/>
          <w:bCs/>
          <w:color w:val="auto"/>
        </w:rPr>
        <w:t>十四、投标文件</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（一）投标人应交送5份纸质投标文件，标有正本（1份），副本（4份）。同时应提供电子版投标报价清单及汇总表1份（</w:t>
      </w:r>
      <w:r>
        <w:rPr>
          <w:rFonts w:hint="eastAsia" w:cs="宋体" w:asciiTheme="minorHAnsi" w:hAnsiTheme="minorHAnsi"/>
          <w:b/>
          <w:bCs/>
          <w:color w:val="auto"/>
        </w:rPr>
        <w:t>电子版投标报价清单需采用Excel表格形式，存储于U盘中</w:t>
      </w:r>
      <w:r>
        <w:rPr>
          <w:rFonts w:hint="eastAsia" w:cs="宋体" w:asciiTheme="minorHAnsi" w:hAnsiTheme="minorHAnsi"/>
          <w:color w:val="auto"/>
        </w:rPr>
        <w:t>），电子版投标报价清单及汇总表内容须与纸质版完全相同。</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（二）投标文件须盖投标人公章，并有法定代表人或委托代理人的签名。</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三）投标文件的正、副本应密封包装，封口处贴封条并齐缝加盖公章。封面注明招标项目和招标单位、投标人名称，并注明“开标时启封”字样。投标文件不按规定密封视为无效。电子版投标文件须单独密封，并注明投标人名称。无电子版投标文件，招标方拒绝接受投标方的投标文件。投标文件不予退还</w:t>
      </w:r>
      <w:r>
        <w:rPr>
          <w:rFonts w:cs="宋体" w:asciiTheme="minorHAnsi" w:hAnsiTheme="minorHAnsi"/>
          <w:color w:val="auto"/>
        </w:rPr>
        <w:t>，</w:t>
      </w:r>
      <w:r>
        <w:rPr>
          <w:rFonts w:hint="eastAsia" w:cs="宋体" w:asciiTheme="minorHAnsi" w:hAnsiTheme="minorHAnsi"/>
          <w:color w:val="auto"/>
        </w:rPr>
        <w:t>请投标人自备底稿</w:t>
      </w:r>
      <w:r>
        <w:rPr>
          <w:rFonts w:cs="宋体" w:asciiTheme="minorHAnsi" w:hAnsiTheme="minorHAnsi"/>
          <w:color w:val="auto"/>
        </w:rPr>
        <w:t>。</w:t>
      </w:r>
    </w:p>
    <w:p>
      <w:pPr>
        <w:snapToGrid w:val="0"/>
        <w:spacing w:line="360" w:lineRule="auto"/>
        <w:jc w:val="left"/>
        <w:rPr>
          <w:rFonts w:cs="宋体"/>
          <w:color w:val="auto"/>
          <w:sz w:val="28"/>
          <w:szCs w:val="28"/>
        </w:rPr>
      </w:pPr>
      <w:r>
        <w:rPr>
          <w:rFonts w:hint="eastAsia" w:cs="宋体"/>
          <w:color w:val="auto"/>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color w:val="auto"/>
          <w:sz w:val="28"/>
          <w:szCs w:val="28"/>
        </w:rPr>
      </w:pPr>
      <w:r>
        <w:rPr>
          <w:rFonts w:hint="eastAsia" w:cs="宋体"/>
          <w:color w:val="auto"/>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color w:val="auto"/>
          <w:sz w:val="28"/>
          <w:szCs w:val="28"/>
        </w:rPr>
      </w:pPr>
      <w:r>
        <w:rPr>
          <w:rFonts w:hint="eastAsia" w:cs="宋体"/>
          <w:color w:val="auto"/>
          <w:sz w:val="28"/>
          <w:szCs w:val="28"/>
        </w:rPr>
        <w:t>（六）投标人应保证投标文件及资料均未侵犯他人的知识产权，否则投标人必须承担由此引起的全部法律责任。</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（七）若投标人使用了他人的专利、专有技术，涉及的费用由投标人负责。</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（八）招标人不接受投标人对任何未办理正常进口手续的非中华人民共和国境内生产的货物的投标报价。</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（九）本次配送药品采购价均包含其生产成本、运输、包装、伴随服务、税费及其他一切附加费用。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十五、投标有效期：</w:t>
      </w:r>
      <w:r>
        <w:rPr>
          <w:rFonts w:hint="eastAsia" w:asciiTheme="minorEastAsia" w:hAnsiTheme="minorEastAsia" w:cstheme="minorEastAsia"/>
          <w:color w:val="auto"/>
          <w:sz w:val="28"/>
          <w:szCs w:val="28"/>
        </w:rPr>
        <w:t>开标后 60 个日历日。</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十六、禁止投标人相互串通投标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十七、下列情形之一的，评标委员会应当否决其投标：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（三）同一投标人提交两个以上不同的投标文件或者投标报价，但招标文件要求提交备选投标报价的除外；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（七）评委会一致确认应属于废标的其它严重情况。</w:t>
      </w: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第二部分投标文件的编制内容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投标文件应包括以下内容，并按照以下顺序装订</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（一）投标函；附件（一）</w:t>
      </w:r>
    </w:p>
    <w:p>
      <w:pPr>
        <w:autoSpaceDE w:val="0"/>
        <w:autoSpaceDN w:val="0"/>
        <w:adjustRightInd w:val="0"/>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w:t>
      </w:r>
      <w:r>
        <w:rPr>
          <w:rFonts w:asciiTheme="minorEastAsia" w:hAnsiTheme="minorEastAsia" w:cstheme="minorEastAsia"/>
          <w:color w:val="auto"/>
          <w:sz w:val="28"/>
          <w:szCs w:val="28"/>
        </w:rPr>
        <w:t>资格证明文件目录表</w:t>
      </w:r>
      <w:r>
        <w:rPr>
          <w:rFonts w:hint="eastAsia" w:asciiTheme="minorEastAsia" w:hAnsiTheme="minorEastAsia" w:cstheme="minorEastAsia"/>
          <w:color w:val="auto"/>
          <w:sz w:val="28"/>
          <w:szCs w:val="28"/>
        </w:rPr>
        <w:t>；附件（二）</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（三）投标企业情况表；附件（三）</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（四）营业执照副本、机构代码证、税务登记证副本复印件（或三证合一的有效证件）；附件（四）</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（五）声明函；附件（五）</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（十）法定代表人资格证明和法定代表人的授权委托书；附件（六）</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（八）药品经营许可证复印件；</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（九）《一标段 鹰山社区心脑血管类药品投标报价清单》、《二标段 鹰山社区降糖类药品投标报价清单》、《三标段 鹰山社区其他类药品</w:t>
      </w:r>
      <w:r>
        <w:rPr>
          <w:rFonts w:hint="eastAsia" w:asciiTheme="minorEastAsia" w:hAnsiTheme="minorEastAsia" w:cstheme="minorEastAsia"/>
          <w:color w:val="auto"/>
          <w:sz w:val="28"/>
          <w:szCs w:val="28"/>
          <w:lang w:val="en-US" w:eastAsia="zh-CN"/>
        </w:rPr>
        <w:t>投标</w:t>
      </w:r>
      <w:r>
        <w:rPr>
          <w:rFonts w:hint="eastAsia" w:asciiTheme="minorEastAsia" w:hAnsiTheme="minorEastAsia" w:cstheme="minorEastAsia"/>
          <w:color w:val="auto"/>
          <w:sz w:val="28"/>
          <w:szCs w:val="28"/>
        </w:rPr>
        <w:t>报价清单》；</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（九）提供20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年1月1日以来的产品销售业绩证明以合同签订时间为有效时间，提供合同扫描件并加盖公章，不接受投标人关联公司业绩；</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w:t>
      </w:r>
      <w:r>
        <w:rPr>
          <w:rFonts w:hint="eastAsia" w:asciiTheme="minorEastAsia" w:hAnsiTheme="minorEastAsia" w:cstheme="minorEastAsia"/>
          <w:color w:val="auto"/>
          <w:sz w:val="28"/>
          <w:szCs w:val="28"/>
        </w:rPr>
        <w:t>质量保证措施；</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（十一）</w:t>
      </w:r>
      <w:r>
        <w:rPr>
          <w:rFonts w:hint="eastAsia" w:asciiTheme="minorEastAsia" w:hAnsiTheme="minorEastAsia" w:cstheme="minorEastAsia"/>
          <w:color w:val="auto"/>
          <w:sz w:val="28"/>
          <w:szCs w:val="28"/>
        </w:rPr>
        <w:t>配送方案；</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（十二）相关承诺（格式自拟）；</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（十三）投标人认为与本次招标有关的其他证明等；</w:t>
      </w:r>
    </w:p>
    <w:p>
      <w:pPr>
        <w:autoSpaceDE w:val="0"/>
        <w:autoSpaceDN w:val="0"/>
        <w:adjustRightInd w:val="0"/>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（十四）投标人认为需要表述的与本次招标有关的其它内容。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第三部分合同主要条款</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以下合同主要条款中甲方为招标人，乙方为投标人。</w:t>
      </w:r>
    </w:p>
    <w:p>
      <w:pPr>
        <w:numPr>
          <w:ilvl w:val="0"/>
          <w:numId w:val="3"/>
        </w:num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合同期限</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合同期限十二个月。</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（一）价格组成：药品价格包含其生产成本、运输、包装、伴随服务、税费及其他一切附加费用。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（二）药品配送执行乙方投标单价。</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1、乙方根据甲方药品采购计划分批次供货；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2、甲方药品采购计划表通过邮件、微信等报单的形式发出，乙方确认订单并配送。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按甲方采购计划，及时、准确、完整地将所定计划药品和配送单据（销售发票、送货清单等）一同送达，节假日照常配送。采购计划月配送完成率为100%，10日内配送率高于98%；特别紧急用药3日内配送到位；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2、乙方在</w:t>
      </w:r>
      <w:r>
        <w:rPr>
          <w:rFonts w:hint="eastAsia" w:asciiTheme="minorEastAsia" w:hAnsiTheme="minorEastAsia" w:cstheme="minorEastAsia"/>
          <w:color w:val="auto"/>
          <w:sz w:val="28"/>
          <w:szCs w:val="28"/>
          <w:lang w:eastAsia="zh-CN"/>
        </w:rPr>
        <w:t>收到甲方采购计划后</w:t>
      </w:r>
      <w:r>
        <w:rPr>
          <w:rFonts w:hint="eastAsia" w:asciiTheme="minorEastAsia" w:hAnsiTheme="minorEastAsia" w:cstheme="minorEastAsia"/>
          <w:color w:val="auto"/>
          <w:sz w:val="28"/>
          <w:szCs w:val="28"/>
          <w:lang w:val="en-US" w:eastAsia="zh-CN"/>
        </w:rPr>
        <w:t>4小时</w:t>
      </w:r>
      <w:r>
        <w:rPr>
          <w:rFonts w:hint="eastAsia" w:asciiTheme="minorEastAsia" w:hAnsiTheme="minorEastAsia" w:cstheme="minorEastAsia"/>
          <w:color w:val="auto"/>
          <w:sz w:val="28"/>
          <w:szCs w:val="28"/>
        </w:rPr>
        <w:t>内对采购药品信息</w:t>
      </w:r>
      <w:r>
        <w:rPr>
          <w:rFonts w:hint="eastAsia" w:asciiTheme="minorEastAsia" w:hAnsiTheme="minorEastAsia" w:cstheme="minorEastAsia"/>
          <w:color w:val="auto"/>
          <w:sz w:val="28"/>
          <w:szCs w:val="28"/>
          <w:lang w:eastAsia="zh-CN"/>
        </w:rPr>
        <w:t>完成</w:t>
      </w:r>
      <w:r>
        <w:rPr>
          <w:rFonts w:hint="eastAsia" w:asciiTheme="minorEastAsia" w:hAnsiTheme="minorEastAsia" w:cstheme="minorEastAsia"/>
          <w:color w:val="auto"/>
          <w:sz w:val="28"/>
          <w:szCs w:val="28"/>
        </w:rPr>
        <w:t>回复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不能及时配送的药品要在24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（三）乙方所供药品须提供同批号的药检报告书、随货同行单据及发票；冷链药品和生物制品，每次供货还须提供冷链交接单，温湿度记录小票和生物制品批签发合格证等资料；进口药品应附上质量检验报告书。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rPr>
        <w:t>（四）乙方向甲方配送药品时必须根据药品的有效期送货。以药品到货之日起计算，普通药品和急救药品的剩余使用效期不得少于整个产品效期的</w:t>
      </w:r>
      <w:r>
        <w:rPr>
          <w:rFonts w:hint="eastAsia" w:asciiTheme="minorEastAsia" w:hAnsiTheme="minorEastAsia" w:cstheme="minorEastAsia"/>
          <w:color w:val="auto"/>
          <w:sz w:val="28"/>
          <w:szCs w:val="28"/>
          <w:u w:val="single"/>
        </w:rPr>
        <w:t>2/3</w:t>
      </w:r>
      <w:r>
        <w:rPr>
          <w:rFonts w:hint="eastAsia" w:asciiTheme="minorEastAsia" w:hAnsiTheme="minorEastAsia" w:cstheme="minorEastAsia"/>
          <w:color w:val="auto"/>
          <w:sz w:val="28"/>
          <w:szCs w:val="28"/>
        </w:rPr>
        <w:t>（特殊药品除外），否则甲方可拒绝收货或要求乙方退货。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逾期视为乙方自认乙方药品质量问题。</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等任何一项不相符的，或是近效期、包装污染、破损药品等药品，甲方有权拒绝收货，此时货物毁损灭失的风险由乙方承担。甲方在24小时内以电话、邮件、微信等形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破损、近效期、调换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(三)甲方从乙方购进的需冷藏储存的品种，非质量问题，不得退货。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八、售后服务</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乙方须设有售后服务部门或者专人负责药品售后服务，并能拆零配送，且积极配合药品入库。</w:t>
      </w:r>
      <w:r>
        <w:rPr>
          <w:rFonts w:hint="eastAsia" w:asciiTheme="minorEastAsia" w:hAnsiTheme="minorEastAsia" w:cstheme="minorEastAsia"/>
          <w:color w:val="auto"/>
          <w:sz w:val="28"/>
          <w:szCs w:val="28"/>
          <w:lang w:val="en-US" w:eastAsia="zh-CN"/>
        </w:rPr>
        <w:t>入库地点为</w:t>
      </w:r>
      <w:r>
        <w:rPr>
          <w:rFonts w:hint="eastAsia"/>
          <w:color w:val="auto"/>
          <w:sz w:val="28"/>
          <w:szCs w:val="28"/>
        </w:rPr>
        <w:t>安徽省淮北市相山区淮海中路8号</w:t>
      </w:r>
      <w:r>
        <w:rPr>
          <w:rFonts w:hint="eastAsia"/>
          <w:color w:val="auto"/>
          <w:sz w:val="28"/>
          <w:szCs w:val="28"/>
          <w:lang w:val="en-US" w:eastAsia="zh-CN"/>
        </w:rPr>
        <w:t>鹰山社区</w:t>
      </w:r>
      <w:r>
        <w:rPr>
          <w:rFonts w:hint="eastAsia"/>
          <w:color w:val="auto"/>
          <w:sz w:val="28"/>
          <w:szCs w:val="28"/>
        </w:rPr>
        <w:t>卫生服务站</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rPr>
        <w:t>九、结算与支付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w:t>
      </w:r>
    </w:p>
    <w:p>
      <w:pPr>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1、执行乙方投标单价，</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r>
        <w:rPr>
          <w:rFonts w:asciiTheme="minorEastAsia" w:hAnsiTheme="minorEastAsia" w:cstheme="minorEastAsia"/>
          <w:color w:val="auto"/>
          <w:sz w:val="28"/>
          <w:szCs w:val="28"/>
        </w:rPr>
        <w:t>价格变更</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以当期国家医药采购平台或省医药采购平台价格为依据</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当单个药品的价格升降幅度在</w:t>
      </w:r>
      <w:r>
        <w:rPr>
          <w:rFonts w:hint="eastAsia" w:asciiTheme="minorEastAsia" w:hAnsiTheme="minorEastAsia" w:cstheme="minorEastAsia"/>
          <w:color w:val="auto"/>
          <w:sz w:val="28"/>
          <w:szCs w:val="28"/>
        </w:rPr>
        <w:t>5%内（含5%）不予调整，</w:t>
      </w:r>
      <w:r>
        <w:rPr>
          <w:rFonts w:asciiTheme="minorEastAsia" w:hAnsiTheme="minorEastAsia" w:cstheme="minorEastAsia"/>
          <w:color w:val="auto"/>
          <w:sz w:val="28"/>
          <w:szCs w:val="28"/>
        </w:rPr>
        <w:t>当单个药品的价格变化幅度大于</w:t>
      </w:r>
      <w:r>
        <w:rPr>
          <w:rFonts w:hint="eastAsia" w:asciiTheme="minorEastAsia" w:hAnsiTheme="minorEastAsia" w:cstheme="minorEastAsia"/>
          <w:color w:val="auto"/>
          <w:sz w:val="28"/>
          <w:szCs w:val="28"/>
        </w:rPr>
        <w:t>5%，且</w:t>
      </w:r>
      <w:r>
        <w:rPr>
          <w:rFonts w:asciiTheme="minorEastAsia" w:hAnsiTheme="minorEastAsia" w:cstheme="minorEastAsia"/>
          <w:color w:val="auto"/>
          <w:sz w:val="28"/>
          <w:szCs w:val="28"/>
        </w:rPr>
        <w:t>价格变化幅度大于</w:t>
      </w: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z w:val="28"/>
          <w:szCs w:val="28"/>
        </w:rPr>
        <w:t>的所有药品的合价超越合同金额的1%时，对于5%以上的部分给与调整【例如某药品上涨（下降）7%，则价格调增（减）2%】。</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以甲方确认的药品实际配送量为依据进行结算。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无预付款，转账支付。</w:t>
      </w:r>
      <w:r>
        <w:rPr>
          <w:rFonts w:hint="eastAsia" w:asciiTheme="minorEastAsia" w:hAnsiTheme="minorEastAsia" w:cstheme="minorEastAsia"/>
          <w:b/>
          <w:color w:val="auto"/>
          <w:sz w:val="28"/>
          <w:szCs w:val="28"/>
        </w:rPr>
        <w:t>当月</w:t>
      </w:r>
      <w:r>
        <w:rPr>
          <w:rFonts w:hint="eastAsia" w:asciiTheme="minorEastAsia" w:hAnsiTheme="minorEastAsia" w:cstheme="minorEastAsia"/>
          <w:color w:val="auto"/>
          <w:sz w:val="28"/>
          <w:szCs w:val="28"/>
        </w:rPr>
        <w:t>药品款待次月计划量药品验收合格后的</w:t>
      </w:r>
      <w:r>
        <w:rPr>
          <w:rFonts w:hint="eastAsia" w:asciiTheme="minorEastAsia" w:hAnsiTheme="minorEastAsia" w:cstheme="minorEastAsia"/>
          <w:color w:val="auto"/>
          <w:sz w:val="28"/>
          <w:szCs w:val="28"/>
          <w:lang w:eastAsia="zh-CN"/>
        </w:rPr>
        <w:t>两</w:t>
      </w:r>
      <w:r>
        <w:rPr>
          <w:rFonts w:hint="eastAsia" w:asciiTheme="minorEastAsia" w:hAnsiTheme="minorEastAsia" w:cstheme="minorEastAsia"/>
          <w:color w:val="auto"/>
          <w:sz w:val="28"/>
          <w:szCs w:val="28"/>
        </w:rPr>
        <w:t>个月内付清，以此类推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末月药品款待该月计划量药品验收合格无遗留问题后</w:t>
      </w:r>
      <w:r>
        <w:rPr>
          <w:rFonts w:hint="eastAsia" w:asciiTheme="minorEastAsia" w:hAnsiTheme="minorEastAsia" w:cstheme="minorEastAsia"/>
          <w:color w:val="auto"/>
          <w:sz w:val="28"/>
          <w:szCs w:val="28"/>
          <w:lang w:eastAsia="zh-CN"/>
        </w:rPr>
        <w:t>两</w:t>
      </w:r>
      <w:r>
        <w:rPr>
          <w:rFonts w:hint="eastAsia" w:asciiTheme="minorEastAsia" w:hAnsiTheme="minorEastAsia" w:cstheme="minorEastAsia"/>
          <w:color w:val="auto"/>
          <w:sz w:val="28"/>
          <w:szCs w:val="28"/>
        </w:rPr>
        <w:t>个月内</w:t>
      </w:r>
      <w:r>
        <w:rPr>
          <w:rFonts w:hint="eastAsia" w:asciiTheme="minorEastAsia" w:hAnsiTheme="minorEastAsia" w:cstheme="minorEastAsia"/>
          <w:color w:val="auto"/>
          <w:sz w:val="28"/>
          <w:szCs w:val="28"/>
          <w:lang w:eastAsia="zh-CN"/>
        </w:rPr>
        <w:t>支付</w:t>
      </w:r>
      <w:r>
        <w:rPr>
          <w:rFonts w:hint="eastAsia" w:asciiTheme="minorEastAsia" w:hAnsiTheme="minorEastAsia" w:cstheme="minorEastAsia"/>
          <w:color w:val="auto"/>
          <w:sz w:val="28"/>
          <w:szCs w:val="28"/>
          <w:lang w:val="en-US" w:eastAsia="zh-CN"/>
        </w:rPr>
        <w:t>90%，</w:t>
      </w:r>
      <w:r>
        <w:rPr>
          <w:rFonts w:hint="eastAsia" w:asciiTheme="minorEastAsia" w:hAnsiTheme="minorEastAsia" w:cstheme="minorEastAsia"/>
          <w:color w:val="auto"/>
          <w:sz w:val="28"/>
          <w:szCs w:val="28"/>
          <w:lang w:eastAsia="zh-CN"/>
        </w:rPr>
        <w:t>余款</w:t>
      </w:r>
      <w:r>
        <w:rPr>
          <w:rFonts w:hint="eastAsia" w:asciiTheme="minorEastAsia" w:hAnsiTheme="minorEastAsia" w:cstheme="minorEastAsia"/>
          <w:color w:val="auto"/>
          <w:sz w:val="28"/>
          <w:szCs w:val="28"/>
          <w:lang w:val="en-US" w:eastAsia="zh-CN"/>
        </w:rPr>
        <w:t>10%待</w:t>
      </w:r>
      <w:r>
        <w:rPr>
          <w:rFonts w:hint="eastAsia" w:asciiTheme="minorEastAsia" w:hAnsiTheme="minorEastAsia" w:cstheme="minorEastAsia"/>
          <w:color w:val="auto"/>
          <w:sz w:val="28"/>
          <w:szCs w:val="28"/>
        </w:rPr>
        <w:t>验收合格无遗留问题</w:t>
      </w:r>
      <w:r>
        <w:rPr>
          <w:rFonts w:hint="eastAsia" w:asciiTheme="minorEastAsia" w:hAnsiTheme="minorEastAsia" w:cstheme="minorEastAsia"/>
          <w:color w:val="auto"/>
          <w:sz w:val="28"/>
          <w:szCs w:val="28"/>
          <w:lang w:eastAsia="zh-CN"/>
        </w:rPr>
        <w:t>后一年内支付</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（四）乙方提供增值税专用发票（13%税率）。</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十、质量保证金</w:t>
      </w:r>
    </w:p>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rPr>
        <w:t>次月计划量药品款</w:t>
      </w:r>
      <w:r>
        <w:rPr>
          <w:rFonts w:hint="eastAsia" w:cs="宋体"/>
          <w:color w:val="auto"/>
          <w:sz w:val="28"/>
          <w:szCs w:val="28"/>
        </w:rPr>
        <w:t>为上</w:t>
      </w:r>
      <w:r>
        <w:rPr>
          <w:rFonts w:hint="eastAsia" w:asciiTheme="minorEastAsia" w:hAnsiTheme="minorEastAsia" w:cstheme="minorEastAsia"/>
          <w:color w:val="auto"/>
          <w:sz w:val="28"/>
          <w:szCs w:val="28"/>
        </w:rPr>
        <w:t>月计划量药品的</w:t>
      </w:r>
      <w:r>
        <w:rPr>
          <w:rFonts w:hint="eastAsia" w:cs="宋体"/>
          <w:color w:val="auto"/>
          <w:sz w:val="28"/>
          <w:szCs w:val="28"/>
        </w:rPr>
        <w:t>质量保证金</w:t>
      </w:r>
      <w:r>
        <w:rPr>
          <w:rFonts w:hint="eastAsia"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十一、违约责任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（一）签订协议后，乙方在合同规定的供货时间内不能及时配送甲方所需药品的，每逾期一次，按逾期配送药品货款的5%缴纳违约金，从应付药品款中扣除。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（二）签订协议后，甲方对乙方计划月配送考核不合格（即考核低于90分）或者月计划配送率低于95%的，暂停支付当月药品款，一次扣除</w:t>
      </w:r>
      <w:r>
        <w:rPr>
          <w:rFonts w:hint="eastAsia" w:asciiTheme="minorEastAsia" w:hAnsiTheme="minorEastAsia" w:cstheme="minorEastAsia"/>
          <w:color w:val="auto"/>
          <w:sz w:val="28"/>
          <w:szCs w:val="28"/>
          <w:lang w:val="en-US" w:eastAsia="zh-CN"/>
        </w:rPr>
        <w:t>当月</w:t>
      </w:r>
      <w:r>
        <w:rPr>
          <w:rFonts w:hint="eastAsia" w:asciiTheme="minorEastAsia" w:hAnsiTheme="minorEastAsia" w:cstheme="minorEastAsia"/>
          <w:color w:val="auto"/>
          <w:sz w:val="28"/>
          <w:szCs w:val="28"/>
        </w:rPr>
        <w:t>应付药品款的5%。</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（三）一年内连续三次考核不合格或者月计划配送率连续三次低于95%的，甲方有权解除配送合同。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要切实保证药品质量，严禁配送假冒、伪劣药品，若因乙方药品质量问题引起纠纷或赔偿以及其它法律责任，乙方须承担全部责任。发生一起供应假药、劣药情况者，甲方有权解除采购合同关系。乙方除承担上述所有责任外，甲方将</w:t>
      </w:r>
      <w:r>
        <w:rPr>
          <w:rFonts w:hint="eastAsia" w:asciiTheme="minorEastAsia" w:hAnsiTheme="minorEastAsia" w:cstheme="minorEastAsia"/>
          <w:color w:val="auto"/>
          <w:sz w:val="28"/>
          <w:szCs w:val="28"/>
          <w:lang w:eastAsia="zh-CN"/>
        </w:rPr>
        <w:t>不予支付该月计划药品款</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（六）乙方在合同规定的供货时间内不能及时配送甲方所需药品的，甲方将安排第三方单位进行配送，配送药品价格高于中标价的部分费用由乙方承担，从乙方的应付药品款中扣除。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（七） 向甲方工作人员提供各种“回扣”、“提成”、“提单费”等非法报酬、不当获利，甲方有权解除合同关系。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（八）终止或解除配送合同后，三年内禁止进入淮北市相王医药连锁有限公司药品采购。因终止或解除配送合同给甲方造成损失的，乙方还应赔偿甲方包括但不限于诉讼费、律师费、差旅费等费用。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（九）合同中约定的应当退换货的药品，乙方如拒不履行退换货的合同义务，导致甲方受有损失的，损失金额从应付药品款中扣除。</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十二、合同争议解决方式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十三、附则</w:t>
      </w:r>
    </w:p>
    <w:p>
      <w:pPr>
        <w:pStyle w:val="20"/>
        <w:numPr>
          <w:ilvl w:val="0"/>
          <w:numId w:val="4"/>
        </w:numPr>
        <w:autoSpaceDE w:val="0"/>
        <w:autoSpaceDN w:val="0"/>
        <w:adjustRightInd w:val="0"/>
        <w:snapToGrid w:val="0"/>
        <w:spacing w:line="360" w:lineRule="auto"/>
        <w:ind w:firstLineChars="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如有未尽事宜，甲乙双方可通过协商签订补充合同，补充合同与本合同具有同等效力。</w:t>
      </w:r>
    </w:p>
    <w:p>
      <w:pPr>
        <w:pStyle w:val="20"/>
        <w:numPr>
          <w:ilvl w:val="0"/>
          <w:numId w:val="4"/>
        </w:numPr>
        <w:autoSpaceDE w:val="0"/>
        <w:autoSpaceDN w:val="0"/>
        <w:adjustRightInd w:val="0"/>
        <w:snapToGrid w:val="0"/>
        <w:spacing w:line="360" w:lineRule="auto"/>
        <w:ind w:firstLineChars="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本合同双方签字盖章后生效。本合同文本一式六份，甲方执三份、乙方执三份。</w:t>
      </w:r>
    </w:p>
    <w:p>
      <w:pPr>
        <w:autoSpaceDE w:val="0"/>
        <w:autoSpaceDN w:val="0"/>
        <w:adjustRightInd w:val="0"/>
        <w:snapToGrid w:val="0"/>
        <w:spacing w:line="360" w:lineRule="auto"/>
        <w:jc w:val="left"/>
        <w:rPr>
          <w:rFonts w:asciiTheme="minorEastAsia" w:hAnsiTheme="minorEastAsia" w:cstheme="minorEastAsia"/>
          <w:color w:val="auto"/>
          <w:sz w:val="28"/>
          <w:szCs w:val="28"/>
        </w:rPr>
      </w:pPr>
    </w:p>
    <w:p>
      <w:pPr>
        <w:snapToGrid w:val="0"/>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第四部分：淮北市相王医药供应商考核表</w:t>
      </w:r>
    </w:p>
    <w:p>
      <w:pPr>
        <w:snapToGrid w:val="0"/>
        <w:jc w:val="center"/>
        <w:rPr>
          <w:rFonts w:asciiTheme="minorEastAsia" w:hAnsiTheme="minorEastAsia" w:cstheme="minorEastAsia"/>
          <w:b/>
          <w:bCs/>
          <w:color w:val="auto"/>
          <w:sz w:val="28"/>
          <w:szCs w:val="28"/>
        </w:rPr>
      </w:pPr>
    </w:p>
    <w:tbl>
      <w:tblPr>
        <w:tblStyle w:val="11"/>
        <w:tblW w:w="9403" w:type="dxa"/>
        <w:tblInd w:w="-444"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129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药品质量</w:t>
            </w:r>
            <w:r>
              <w:rPr>
                <w:rStyle w:val="15"/>
                <w:rFonts w:hint="default"/>
                <w:color w:val="auto"/>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未得到同意，供应在12个月内的药品，一个品种扣1分；效期在6个月内的不得供应；外包装破损，标识不规范，一个包装扣1分。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药品价格：</w:t>
            </w:r>
            <w:r>
              <w:rPr>
                <w:rStyle w:val="15"/>
                <w:rFonts w:hint="default"/>
                <w:color w:val="auto"/>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未事先告知，未按协议价开票，一个品种扣</w:t>
            </w:r>
            <w:r>
              <w:rPr>
                <w:rStyle w:val="16"/>
                <w:rFonts w:eastAsia="宋体"/>
                <w:color w:val="auto"/>
              </w:rPr>
              <w:t>1</w:t>
            </w:r>
            <w:r>
              <w:rPr>
                <w:rStyle w:val="15"/>
                <w:rFonts w:hint="default"/>
                <w:color w:val="auto"/>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药品供应率：</w:t>
            </w:r>
            <w:r>
              <w:rPr>
                <w:rStyle w:val="15"/>
                <w:rFonts w:hint="default"/>
                <w:color w:val="auto"/>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不能供应，一个品种扣</w:t>
            </w:r>
            <w:r>
              <w:rPr>
                <w:rStyle w:val="16"/>
                <w:rFonts w:eastAsia="宋体"/>
                <w:color w:val="auto"/>
              </w:rPr>
              <w:t>1</w:t>
            </w:r>
            <w:r>
              <w:rPr>
                <w:rStyle w:val="15"/>
                <w:rFonts w:hint="default"/>
                <w:color w:val="auto"/>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药品供应及时性、符合性：</w:t>
            </w:r>
            <w:r>
              <w:rPr>
                <w:rStyle w:val="15"/>
                <w:rFonts w:hint="default"/>
                <w:color w:val="auto"/>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24</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在规定时间没有及时供货，一个品种扣</w:t>
            </w:r>
            <w:r>
              <w:rPr>
                <w:rStyle w:val="16"/>
                <w:rFonts w:eastAsia="宋体"/>
                <w:color w:val="auto"/>
              </w:rPr>
              <w:t>1</w:t>
            </w:r>
            <w:r>
              <w:rPr>
                <w:rStyle w:val="15"/>
                <w:rFonts w:hint="default"/>
                <w:color w:val="auto"/>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供应公司及药品文书</w:t>
            </w:r>
            <w:r>
              <w:rPr>
                <w:rStyle w:val="15"/>
                <w:rFonts w:hint="default"/>
                <w:color w:val="auto"/>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供应企业未提供公司有效资质材料扣</w:t>
            </w:r>
            <w:r>
              <w:rPr>
                <w:rStyle w:val="16"/>
                <w:rFonts w:eastAsia="宋体"/>
                <w:color w:val="auto"/>
              </w:rPr>
              <w:t>5</w:t>
            </w:r>
            <w:r>
              <w:rPr>
                <w:rStyle w:val="15"/>
                <w:rFonts w:hint="default"/>
                <w:color w:val="auto"/>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业务员售后服务</w:t>
            </w:r>
            <w:r>
              <w:rPr>
                <w:rStyle w:val="15"/>
                <w:rFonts w:hint="default"/>
                <w:color w:val="auto"/>
              </w:rPr>
              <w:t>：业务员主动热情地做好售后服务，采购药品信息回复必须在24小时内完成，主动帮助医院协调解决用药过程各种问题，不推诿，信守承诺。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业务员售后服务不主动热情，不积极主动帮助招标人解决用药过程发现的各种问题，推诿，不信守承诺，不及时回复的扣</w:t>
            </w:r>
            <w:r>
              <w:rPr>
                <w:rStyle w:val="16"/>
                <w:rFonts w:eastAsia="宋体"/>
                <w:color w:val="auto"/>
              </w:rPr>
              <w:t>1</w:t>
            </w:r>
            <w:r>
              <w:rPr>
                <w:rStyle w:val="15"/>
                <w:rFonts w:hint="default"/>
                <w:color w:val="auto"/>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送药人员服务</w:t>
            </w:r>
            <w:r>
              <w:rPr>
                <w:rStyle w:val="15"/>
                <w:rFonts w:hint="default"/>
                <w:color w:val="auto"/>
              </w:rPr>
              <w:t>：送药人员文明搬运，防止药品野蛮搬运造成破损，认真与医院药库人员核对交接，协助库管员放置好药品，发现问题及时反映给公司，及时解决问题。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野蛮搬运造成破损的，每次扣</w:t>
            </w:r>
            <w:r>
              <w:rPr>
                <w:rStyle w:val="16"/>
                <w:rFonts w:eastAsia="宋体"/>
                <w:color w:val="auto"/>
              </w:rPr>
              <w:t>1-2</w:t>
            </w:r>
            <w:r>
              <w:rPr>
                <w:rStyle w:val="15"/>
                <w:rFonts w:hint="default"/>
                <w:color w:val="auto"/>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ascii="宋体" w:hAnsi="宋体" w:eastAsia="宋体" w:cs="宋体"/>
                <w:color w:val="auto"/>
                <w:kern w:val="0"/>
                <w:sz w:val="18"/>
                <w:szCs w:val="18"/>
              </w:rPr>
              <w:t>严禁供应假药、劣药。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1、考核低于90分为不合格，暂停支付当月药品款，一次扣除应付药品款的5%。</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2、一年内连续三次考核不合格或者月计划配送率连续三次低于95%的，甲方有权解除配送合同。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snapToGrid w:val="0"/>
        <w:jc w:val="left"/>
        <w:rPr>
          <w:rFonts w:asciiTheme="minorEastAsia" w:hAnsiTheme="minorEastAsia" w:cstheme="minorEastAsia"/>
          <w:b/>
          <w:bCs/>
          <w:color w:val="auto"/>
          <w:sz w:val="20"/>
          <w:szCs w:val="20"/>
        </w:rPr>
      </w:pPr>
    </w:p>
    <w:p>
      <w:pPr>
        <w:snapToGrid w:val="0"/>
        <w:jc w:val="left"/>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考核人：审核人：质量负责人：总经理：企业法人：</w:t>
      </w: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第五部分：评标办法</w:t>
      </w:r>
    </w:p>
    <w:p>
      <w:pPr>
        <w:snapToGrid w:val="0"/>
        <w:ind w:firstLine="3092" w:firstLineChars="1100"/>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cs="宋体"/>
          <w:color w:val="auto"/>
          <w:sz w:val="28"/>
          <w:szCs w:val="28"/>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（二）初审</w:t>
      </w:r>
    </w:p>
    <w:tbl>
      <w:tblPr>
        <w:tblStyle w:val="11"/>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ascii="宋体" w:hAnsi="宋体"/>
                <w:color w:val="auto"/>
                <w:sz w:val="18"/>
                <w:szCs w:val="18"/>
              </w:rPr>
            </w:pPr>
            <w:r>
              <w:rPr>
                <w:rFonts w:hint="eastAsia" w:ascii="宋体" w:hAnsi="宋体"/>
                <w:b/>
                <w:bCs/>
                <w:color w:val="auto"/>
                <w:sz w:val="18"/>
                <w:szCs w:val="18"/>
              </w:rPr>
              <w:t>淮北市相王医药药品采购项目初审表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b/>
                <w:bCs/>
                <w:color w:val="auto"/>
                <w:kern w:val="0"/>
                <w:sz w:val="18"/>
                <w:szCs w:val="18"/>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序号</w:t>
            </w:r>
          </w:p>
        </w:tc>
        <w:tc>
          <w:tcPr>
            <w:tcW w:w="4467" w:type="dxa"/>
            <w:shd w:val="clear" w:color="auto" w:fill="D9D9D9"/>
            <w:noWrap/>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ascii="宋体" w:hAnsi="宋体"/>
                <w:b/>
                <w:color w:val="auto"/>
                <w:sz w:val="18"/>
                <w:szCs w:val="18"/>
              </w:rPr>
            </w:pPr>
            <w:r>
              <w:rPr>
                <w:rFonts w:hint="eastAsia" w:ascii="宋体" w:hAnsi="宋体"/>
                <w:b/>
                <w:color w:val="auto"/>
                <w:sz w:val="18"/>
                <w:szCs w:val="18"/>
              </w:rPr>
              <w:t>指标名称</w:t>
            </w:r>
          </w:p>
        </w:tc>
        <w:tc>
          <w:tcPr>
            <w:tcW w:w="1736"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指标要求</w:t>
            </w:r>
          </w:p>
        </w:tc>
        <w:tc>
          <w:tcPr>
            <w:tcW w:w="1006"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是否通过</w:t>
            </w:r>
          </w:p>
        </w:tc>
        <w:tc>
          <w:tcPr>
            <w:tcW w:w="2507"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1</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企业法人授权书原件</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2</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营业执照</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3</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机构代码证、税务登记证（已办理三证合一的本项可不提供）</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4</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开户许可证或加盖投标单位公章的基本存款账户信息</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5</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药品经营许可证</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6</w:t>
            </w:r>
          </w:p>
        </w:tc>
        <w:tc>
          <w:tcPr>
            <w:tcW w:w="4467" w:type="dxa"/>
            <w:noWrap/>
            <w:tcMar>
              <w:top w:w="0" w:type="dxa"/>
              <w:left w:w="108" w:type="dxa"/>
              <w:bottom w:w="0" w:type="dxa"/>
              <w:right w:w="108" w:type="dxa"/>
            </w:tcMar>
            <w:vAlign w:val="center"/>
          </w:tcPr>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投标人参加集中招标采购活动（投标资料递交截止日）前三年内，在经营活动中无严重违法声明</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ascii="宋体" w:hAnsi="宋体" w:eastAsia="宋体" w:cs="Times New Roman"/>
                <w:color w:val="auto"/>
                <w:kern w:val="0"/>
                <w:sz w:val="18"/>
                <w:szCs w:val="18"/>
                <w:u w:color="000000"/>
              </w:rPr>
              <w:t>7</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投标文件规范性</w:t>
            </w:r>
          </w:p>
        </w:tc>
        <w:tc>
          <w:tcPr>
            <w:tcW w:w="1736" w:type="dxa"/>
            <w:noWrap/>
            <w:tcMar>
              <w:top w:w="0" w:type="dxa"/>
              <w:left w:w="108" w:type="dxa"/>
              <w:bottom w:w="0" w:type="dxa"/>
              <w:right w:w="108" w:type="dxa"/>
            </w:tcMar>
            <w:vAlign w:val="center"/>
          </w:tcPr>
          <w:p>
            <w:pPr>
              <w:pStyle w:val="17"/>
              <w:spacing w:before="0" w:beforeAutospacing="0" w:after="0" w:afterAutospacing="0" w:line="300" w:lineRule="exact"/>
              <w:ind w:right="-10"/>
              <w:rPr>
                <w:rFonts w:ascii="宋体" w:hAnsi="宋体"/>
                <w:color w:val="auto"/>
                <w:sz w:val="18"/>
                <w:szCs w:val="18"/>
              </w:rPr>
            </w:pPr>
            <w:r>
              <w:rPr>
                <w:rFonts w:hint="eastAsia" w:ascii="宋体" w:hAnsi="宋体"/>
                <w:color w:val="auto"/>
                <w:sz w:val="18"/>
                <w:szCs w:val="18"/>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评委签字：</w:t>
            </w:r>
          </w:p>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7名评委，评委会推举一名组长。招标人招标管理人员和纪律检查人员全程监督。评标委员会对招标文件理解出现偏差或遗漏时，招标管理人员提醒和督促纠正，纪律检查人员负责评标工作秩序的维持和纪律监督。</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6、评标委员会将拒绝被确定为非实质性响应的投标，投标人不能通过修正或撤销不符之处而使其投标成为实质性响应的投标。</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7、评标委员会严格按照招标文件的要求进行公正评标。评标完成后，评标委员会向招标人提交书面评标报告和推荐</w:t>
      </w:r>
      <w:r>
        <w:rPr>
          <w:rFonts w:hint="eastAsia" w:asciiTheme="minorEastAsia" w:hAnsiTheme="minorEastAsia" w:cstheme="minorEastAsia"/>
          <w:b/>
          <w:bCs/>
          <w:color w:val="auto"/>
          <w:sz w:val="28"/>
          <w:szCs w:val="28"/>
        </w:rPr>
        <w:t>2名中标候选人</w:t>
      </w:r>
      <w:r>
        <w:rPr>
          <w:rFonts w:hint="eastAsia" w:asciiTheme="minorEastAsia" w:hAnsiTheme="minorEastAsia" w:cstheme="minorEastAsia"/>
          <w:color w:val="auto"/>
          <w:sz w:val="28"/>
          <w:szCs w:val="28"/>
        </w:rPr>
        <w:t>，并按照价格由低到高进行排序。价格最低的为第一名，次低的为第二名，以此类推。如果价格相同，</w:t>
      </w:r>
      <w:r>
        <w:rPr>
          <w:rFonts w:hint="eastAsia" w:ascii="华文仿宋" w:hAnsi="华文仿宋" w:cs="宋体"/>
          <w:color w:val="auto"/>
          <w:sz w:val="28"/>
          <w:szCs w:val="28"/>
        </w:rPr>
        <w:t>按公司业绩数量由高到低顺序排列。</w:t>
      </w:r>
      <w:r>
        <w:rPr>
          <w:rFonts w:hint="eastAsia" w:asciiTheme="minorEastAsia" w:hAnsiTheme="minorEastAsia" w:cstheme="minorEastAsia"/>
          <w:color w:val="auto"/>
          <w:sz w:val="28"/>
          <w:szCs w:val="28"/>
        </w:rPr>
        <w:t>推荐前2名为中标候选人，</w:t>
      </w:r>
      <w:r>
        <w:rPr>
          <w:rFonts w:hint="eastAsia" w:asciiTheme="minorEastAsia" w:hAnsiTheme="minorEastAsia" w:cstheme="minorEastAsia"/>
          <w:b/>
          <w:bCs/>
          <w:color w:val="auto"/>
          <w:sz w:val="28"/>
          <w:szCs w:val="28"/>
        </w:rPr>
        <w:t>排序第一的为主配送，其次为副配送。当主配送无法满足采购计划时，由副配送供货，所产生的差价由主配送承担。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autoSpaceDE w:val="0"/>
        <w:autoSpaceDN w:val="0"/>
        <w:adjustRightInd w:val="0"/>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评标委员会根据评标标准评出各投标人的具体得分名次，推荐前2名为中标候选人，报招标人研究确定中标人，在安徽皖北康复医院官网和安徽省招标投标信息官网进行公示，并在规定时间内与中标人签订配送合同。</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color w:val="auto"/>
          <w:sz w:val="28"/>
          <w:szCs w:val="28"/>
        </w:rPr>
        <w:t>2、如排序第一的中标候选人放弃中标或因其他原因丧失中标资格，则确定排序第二的中标候选人为主配送，其次为副配送，依次类推。</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附件（一）</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投标函</w:t>
      </w:r>
    </w:p>
    <w:p>
      <w:pPr>
        <w:snapToGrid w:val="0"/>
        <w:spacing w:line="360" w:lineRule="auto"/>
        <w:ind w:left="1663" w:hanging="1663" w:hangingChars="594"/>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p>
    <w:p>
      <w:pPr>
        <w:snapToGrid w:val="0"/>
        <w:spacing w:line="360" w:lineRule="auto"/>
        <w:ind w:firstLine="560" w:firstLineChars="200"/>
        <w:jc w:val="left"/>
        <w:rPr>
          <w:rFonts w:ascii="宋体" w:hAnsi="宋体" w:cs="宋体"/>
          <w:sz w:val="28"/>
          <w:szCs w:val="28"/>
        </w:rPr>
      </w:pPr>
      <w:r>
        <w:rPr>
          <w:rFonts w:hint="eastAsia" w:asciiTheme="minorEastAsia" w:hAnsiTheme="minorEastAsia" w:cstheme="minorEastAsia"/>
          <w:color w:val="auto"/>
          <w:sz w:val="28"/>
          <w:szCs w:val="28"/>
        </w:rPr>
        <w:t>1、我们已全面研究了“淮北市相王医药药品采购招标文件”并熟知招标文件的各项规定，我方同意按招标文件规定的全部条件投标。</w:t>
      </w:r>
      <w:r>
        <w:rPr>
          <w:rFonts w:hint="eastAsia" w:ascii="宋体" w:hAnsi="宋体" w:cs="宋体"/>
          <w:sz w:val="28"/>
          <w:szCs w:val="28"/>
        </w:rPr>
        <w:t>投标报价（含税）如下：</w:t>
      </w:r>
    </w:p>
    <w:p>
      <w:pPr>
        <w:snapToGrid w:val="0"/>
        <w:ind w:left="-269" w:leftChars="-128" w:firstLine="840" w:firstLineChars="300"/>
        <w:jc w:val="left"/>
        <w:rPr>
          <w:rFonts w:asciiTheme="minorEastAsia" w:hAnsiTheme="minorEastAsia" w:cstheme="minorEastAsia"/>
          <w:color w:val="auto"/>
          <w:sz w:val="28"/>
          <w:szCs w:val="28"/>
        </w:rPr>
      </w:pPr>
      <w:r>
        <w:rPr>
          <w:rFonts w:hint="eastAsia" w:ascii="宋体" w:hAnsi="宋体" w:cs="宋体"/>
          <w:sz w:val="28"/>
          <w:szCs w:val="28"/>
        </w:rPr>
        <w:t>投标报价：</w:t>
      </w:r>
      <w:r>
        <w:rPr>
          <w:rFonts w:hint="eastAsia" w:ascii="宋体" w:hAnsi="宋体" w:cs="宋体"/>
          <w:sz w:val="28"/>
          <w:szCs w:val="28"/>
          <w:lang w:val="en-US" w:eastAsia="zh-CN"/>
        </w:rPr>
        <w:t xml:space="preserve">  </w:t>
      </w:r>
      <w:r>
        <w:rPr>
          <w:rFonts w:hint="eastAsia" w:ascii="宋体" w:hAnsi="宋体" w:cs="宋体"/>
          <w:sz w:val="28"/>
          <w:szCs w:val="28"/>
        </w:rPr>
        <w:t xml:space="preserve">  人民币元（大写</w:t>
      </w:r>
      <w:r>
        <w:rPr>
          <w:rFonts w:hint="eastAsia" w:ascii="宋体" w:hAnsi="宋体" w:cs="宋体"/>
          <w:sz w:val="28"/>
          <w:szCs w:val="28"/>
          <w:lang w:val="en-US" w:eastAsia="zh-CN"/>
        </w:rPr>
        <w:t xml:space="preserve">   </w:t>
      </w:r>
      <w:r>
        <w:rPr>
          <w:rFonts w:hint="eastAsia" w:ascii="宋体" w:hAnsi="宋体" w:cs="宋体"/>
          <w:sz w:val="28"/>
          <w:szCs w:val="28"/>
        </w:rPr>
        <w:t xml:space="preserve">  ）；</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color w:val="auto"/>
          <w:sz w:val="28"/>
          <w:szCs w:val="28"/>
        </w:rPr>
      </w:pPr>
      <w:r>
        <w:rPr>
          <w:rFonts w:hint="eastAsia" w:ascii="宋体" w:hAnsi="宋体"/>
          <w:color w:val="auto"/>
          <w:sz w:val="28"/>
          <w:szCs w:val="28"/>
        </w:rPr>
        <w:t>3、</w:t>
      </w:r>
      <w:r>
        <w:rPr>
          <w:rFonts w:hint="eastAsia" w:asciiTheme="minorEastAsia" w:hAnsiTheme="minorEastAsia" w:cstheme="minorEastAsia"/>
          <w:color w:val="auto"/>
          <w:sz w:val="28"/>
          <w:szCs w:val="28"/>
        </w:rPr>
        <w:t>本投标书在开标后的60日内均有效。</w:t>
      </w:r>
      <w:r>
        <w:rPr>
          <w:rFonts w:hint="eastAsia" w:ascii="宋体" w:hAnsi="宋体"/>
          <w:color w:val="auto"/>
          <w:sz w:val="28"/>
          <w:szCs w:val="28"/>
        </w:rPr>
        <w:t>在合同书正式签署生效之前，本投标文件</w:t>
      </w:r>
      <w:r>
        <w:rPr>
          <w:rFonts w:ascii="宋体" w:hAnsi="宋体"/>
          <w:color w:val="auto"/>
          <w:sz w:val="28"/>
          <w:szCs w:val="28"/>
        </w:rPr>
        <w:t>(</w:t>
      </w:r>
      <w:r>
        <w:rPr>
          <w:rFonts w:hint="eastAsia" w:ascii="宋体" w:hAnsi="宋体"/>
          <w:color w:val="auto"/>
          <w:sz w:val="28"/>
          <w:szCs w:val="28"/>
        </w:rPr>
        <w:t>与招标文件有抵触的内容除外</w:t>
      </w:r>
      <w:r>
        <w:rPr>
          <w:rFonts w:ascii="宋体" w:hAnsi="宋体"/>
          <w:color w:val="auto"/>
          <w:sz w:val="28"/>
          <w:szCs w:val="28"/>
        </w:rPr>
        <w:t>)</w:t>
      </w:r>
      <w:r>
        <w:rPr>
          <w:rFonts w:hint="eastAsia" w:ascii="宋体" w:hAnsi="宋体"/>
          <w:color w:val="auto"/>
          <w:sz w:val="28"/>
          <w:szCs w:val="28"/>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4、我方承诺，保证在合同规定的供货期限内提供合格产品并运送至交货地点。交货地点为淮北市相王医药连锁有限公司仓库，安徽省淮北市相山北路3号。</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5、我方承诺，我方一旦中标，将于收到中标通知书后的30日内与贵方签订采购合同。如逾期不派代表签约，投标保证金不予退还，并视为我方自动放弃中标资格。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6、在合同书正式签署生效之前，本投标文件(与招标文件有抵触的内容除外)连同你单位的中标通知书将构成我们双方之间共同遵守的文件，对双方具有约束力。</w:t>
      </w:r>
    </w:p>
    <w:p>
      <w:pPr>
        <w:pStyle w:val="3"/>
        <w:spacing w:line="500" w:lineRule="exact"/>
        <w:jc w:val="left"/>
        <w:rPr>
          <w:rFonts w:ascii="宋体" w:hAnsi="宋体"/>
          <w:color w:val="auto"/>
          <w:sz w:val="28"/>
          <w:szCs w:val="28"/>
        </w:rPr>
      </w:pPr>
      <w:r>
        <w:rPr>
          <w:rFonts w:hint="eastAsia" w:asciiTheme="minorEastAsia" w:hAnsiTheme="minorEastAsia" w:cstheme="minorEastAsia"/>
          <w:color w:val="auto"/>
          <w:sz w:val="28"/>
          <w:szCs w:val="28"/>
        </w:rPr>
        <w:t>7、我方理解，如我方未中标，贵方有权不作任何解释。</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投标人</w:t>
      </w:r>
      <w:r>
        <w:rPr>
          <w:rFonts w:ascii="宋体" w:hAnsi="宋体"/>
          <w:color w:val="auto"/>
          <w:sz w:val="28"/>
          <w:szCs w:val="28"/>
        </w:rPr>
        <w:t>(</w:t>
      </w:r>
      <w:r>
        <w:rPr>
          <w:rFonts w:hint="eastAsia" w:ascii="宋体" w:hAnsi="宋体"/>
          <w:color w:val="auto"/>
          <w:sz w:val="28"/>
          <w:szCs w:val="28"/>
        </w:rPr>
        <w:t>公章</w:t>
      </w:r>
      <w:r>
        <w:rPr>
          <w:rFonts w:ascii="宋体" w:hAnsi="宋体"/>
          <w:color w:val="auto"/>
          <w:sz w:val="28"/>
          <w:szCs w:val="28"/>
        </w:rPr>
        <w:t>)</w:t>
      </w:r>
      <w:r>
        <w:rPr>
          <w:rFonts w:hint="eastAsia" w:ascii="宋体" w:hAnsi="宋体"/>
          <w:color w:val="auto"/>
          <w:sz w:val="28"/>
          <w:szCs w:val="28"/>
        </w:rPr>
        <w:t>：</w:t>
      </w:r>
    </w:p>
    <w:p>
      <w:pPr>
        <w:pStyle w:val="3"/>
        <w:spacing w:line="500" w:lineRule="exact"/>
        <w:ind w:left="0"/>
        <w:jc w:val="left"/>
        <w:rPr>
          <w:rFonts w:ascii="宋体"/>
          <w:color w:val="auto"/>
          <w:sz w:val="28"/>
          <w:szCs w:val="28"/>
        </w:rPr>
      </w:pPr>
      <w:r>
        <w:rPr>
          <w:rFonts w:hint="eastAsia" w:ascii="宋体" w:hAnsi="宋体"/>
          <w:color w:val="auto"/>
          <w:sz w:val="28"/>
          <w:szCs w:val="28"/>
        </w:rPr>
        <w:t>法定代表人</w:t>
      </w:r>
      <w:r>
        <w:rPr>
          <w:rFonts w:ascii="宋体" w:hAnsi="宋体"/>
          <w:color w:val="auto"/>
          <w:sz w:val="28"/>
          <w:szCs w:val="28"/>
        </w:rPr>
        <w:t>(</w:t>
      </w:r>
      <w:r>
        <w:rPr>
          <w:rFonts w:hint="eastAsia" w:ascii="宋体" w:hAnsi="宋体"/>
          <w:color w:val="auto"/>
          <w:sz w:val="28"/>
          <w:szCs w:val="28"/>
        </w:rPr>
        <w:t>签字</w:t>
      </w:r>
      <w:r>
        <w:rPr>
          <w:rFonts w:ascii="宋体" w:hAnsi="宋体"/>
          <w:color w:val="auto"/>
          <w:sz w:val="28"/>
          <w:szCs w:val="28"/>
        </w:rPr>
        <w:t xml:space="preserve">) </w:t>
      </w:r>
      <w:r>
        <w:rPr>
          <w:rFonts w:hint="eastAsia" w:ascii="宋体" w:hAnsi="宋体"/>
          <w:color w:val="auto"/>
          <w:sz w:val="28"/>
          <w:szCs w:val="28"/>
        </w:rPr>
        <w:t>：</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联系人：</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地址：邮编：</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电话：</w:t>
      </w:r>
    </w:p>
    <w:p>
      <w:pPr>
        <w:pStyle w:val="3"/>
        <w:spacing w:line="500" w:lineRule="exact"/>
        <w:ind w:left="0"/>
        <w:jc w:val="left"/>
        <w:rPr>
          <w:rFonts w:ascii="宋体" w:hAnsi="宋体"/>
          <w:color w:val="auto"/>
          <w:sz w:val="28"/>
          <w:szCs w:val="28"/>
        </w:rPr>
      </w:pPr>
      <w:r>
        <w:rPr>
          <w:rFonts w:hint="eastAsia" w:ascii="宋体" w:hAnsi="宋体"/>
          <w:b/>
          <w:color w:val="auto"/>
          <w:sz w:val="28"/>
          <w:szCs w:val="28"/>
        </w:rPr>
        <w:t>传真：</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开户银行：</w:t>
      </w:r>
    </w:p>
    <w:p>
      <w:pPr>
        <w:pStyle w:val="3"/>
        <w:spacing w:line="500" w:lineRule="exact"/>
        <w:ind w:left="0"/>
        <w:jc w:val="left"/>
        <w:rPr>
          <w:rFonts w:ascii="宋体" w:hAnsi="宋体"/>
          <w:color w:val="auto"/>
          <w:sz w:val="28"/>
          <w:szCs w:val="28"/>
          <w:u w:val="single"/>
        </w:rPr>
      </w:pPr>
      <w:r>
        <w:rPr>
          <w:rFonts w:hint="eastAsia" w:ascii="宋体" w:hAnsi="宋体"/>
          <w:color w:val="auto"/>
          <w:sz w:val="28"/>
          <w:szCs w:val="28"/>
        </w:rPr>
        <w:t>帐号：</w:t>
      </w:r>
    </w:p>
    <w:p>
      <w:pPr>
        <w:pStyle w:val="3"/>
        <w:spacing w:line="500" w:lineRule="exact"/>
        <w:ind w:left="0"/>
        <w:jc w:val="left"/>
        <w:rPr>
          <w:rFonts w:ascii="宋体" w:hAnsi="宋体"/>
          <w:color w:val="auto"/>
          <w:sz w:val="28"/>
          <w:szCs w:val="28"/>
          <w:u w:val="single"/>
        </w:rPr>
      </w:pPr>
      <w:r>
        <w:rPr>
          <w:rFonts w:hint="eastAsia" w:ascii="宋体" w:hAnsi="宋体"/>
          <w:color w:val="auto"/>
          <w:sz w:val="28"/>
          <w:szCs w:val="28"/>
        </w:rPr>
        <w:t>纳税人识别号</w:t>
      </w:r>
      <w:r>
        <w:rPr>
          <w:rFonts w:ascii="宋体" w:hAnsi="宋体"/>
          <w:color w:val="auto"/>
          <w:sz w:val="28"/>
          <w:szCs w:val="28"/>
        </w:rPr>
        <w:t>：</w:t>
      </w:r>
    </w:p>
    <w:p>
      <w:pPr>
        <w:autoSpaceDE w:val="0"/>
        <w:autoSpaceDN w:val="0"/>
        <w:adjustRightInd w:val="0"/>
        <w:snapToGrid w:val="0"/>
        <w:spacing w:line="360" w:lineRule="auto"/>
        <w:jc w:val="left"/>
        <w:rPr>
          <w:rFonts w:ascii="宋体" w:hAnsi="宋体"/>
          <w:color w:val="auto"/>
          <w:sz w:val="28"/>
          <w:szCs w:val="28"/>
        </w:rPr>
      </w:pPr>
      <w:r>
        <w:rPr>
          <w:rFonts w:hint="eastAsia" w:ascii="宋体" w:hAnsi="宋体"/>
          <w:color w:val="auto"/>
          <w:sz w:val="28"/>
          <w:szCs w:val="28"/>
        </w:rPr>
        <w:t>公司电子邮箱：</w:t>
      </w:r>
    </w:p>
    <w:p>
      <w:pPr>
        <w:autoSpaceDE w:val="0"/>
        <w:autoSpaceDN w:val="0"/>
        <w:adjustRightInd w:val="0"/>
        <w:snapToGrid w:val="0"/>
        <w:spacing w:line="360" w:lineRule="auto"/>
        <w:jc w:val="right"/>
        <w:rPr>
          <w:rFonts w:asciiTheme="minorEastAsia" w:hAnsiTheme="minorEastAsia" w:cstheme="minorEastAsia"/>
          <w:b/>
          <w:bCs/>
          <w:color w:val="auto"/>
          <w:sz w:val="28"/>
          <w:szCs w:val="28"/>
        </w:rPr>
      </w:pPr>
      <w:r>
        <w:rPr>
          <w:rFonts w:hint="eastAsia" w:ascii="宋体" w:hAnsi="宋体"/>
          <w:color w:val="auto"/>
          <w:sz w:val="28"/>
          <w:szCs w:val="28"/>
        </w:rPr>
        <w:t>日期：年月日</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1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开户许可证或加盖投标单位公章的基本存款账户信息复印件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药品经营许可证复印件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9</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10</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附件（三）投标企业情况表</w:t>
      </w:r>
    </w:p>
    <w:p>
      <w:pPr>
        <w:spacing w:line="360" w:lineRule="auto"/>
        <w:jc w:val="center"/>
        <w:rPr>
          <w:rFonts w:ascii="Calibri" w:hAnsi="Calibri"/>
          <w:color w:val="auto"/>
          <w:sz w:val="28"/>
        </w:rPr>
      </w:pPr>
      <w:r>
        <w:rPr>
          <w:rFonts w:ascii="Calibri" w:hAnsi="Calibri"/>
          <w:color w:val="auto"/>
          <w:sz w:val="28"/>
        </w:rPr>
        <w:t>投标企业情况表</w:t>
      </w:r>
    </w:p>
    <w:p>
      <w:pPr>
        <w:adjustRightInd w:val="0"/>
        <w:snapToGrid w:val="0"/>
        <w:spacing w:line="288" w:lineRule="auto"/>
        <w:rPr>
          <w:rFonts w:ascii="Calibri" w:hAnsi="Calibri"/>
          <w:b/>
          <w:bCs/>
          <w:color w:val="auto"/>
          <w:spacing w:val="20"/>
          <w:sz w:val="24"/>
        </w:rPr>
      </w:pPr>
    </w:p>
    <w:p>
      <w:pPr>
        <w:adjustRightInd w:val="0"/>
        <w:snapToGrid w:val="0"/>
        <w:spacing w:line="288" w:lineRule="auto"/>
        <w:rPr>
          <w:rFonts w:ascii="Calibri" w:hAnsi="Calibri"/>
          <w:b/>
          <w:bCs/>
          <w:color w:val="auto"/>
          <w:spacing w:val="20"/>
          <w:sz w:val="24"/>
        </w:rPr>
      </w:pPr>
      <w:r>
        <w:rPr>
          <w:rFonts w:ascii="Calibri" w:hAnsi="Calibri"/>
          <w:b/>
          <w:bCs/>
          <w:color w:val="auto"/>
          <w:spacing w:val="20"/>
          <w:sz w:val="24"/>
        </w:rPr>
        <w:t>1．投标人概况：</w:t>
      </w:r>
    </w:p>
    <w:p>
      <w:pPr>
        <w:adjustRightInd w:val="0"/>
        <w:snapToGrid w:val="0"/>
        <w:spacing w:line="288" w:lineRule="auto"/>
        <w:ind w:firstLine="360" w:firstLineChars="150"/>
        <w:rPr>
          <w:rFonts w:ascii="Calibri" w:hAnsi="Calibri"/>
          <w:color w:val="auto"/>
          <w:sz w:val="24"/>
        </w:rPr>
      </w:pPr>
      <w:r>
        <w:rPr>
          <w:rFonts w:ascii="Calibri" w:hAnsi="Calibri"/>
          <w:color w:val="auto"/>
          <w:sz w:val="24"/>
        </w:rPr>
        <w:t xml:space="preserve">A．投标人名称： </w:t>
      </w:r>
    </w:p>
    <w:p>
      <w:pPr>
        <w:adjustRightInd w:val="0"/>
        <w:snapToGrid w:val="0"/>
        <w:spacing w:line="288" w:lineRule="auto"/>
        <w:rPr>
          <w:rFonts w:ascii="Calibri" w:hAnsi="Calibri"/>
          <w:color w:val="auto"/>
          <w:sz w:val="24"/>
        </w:rPr>
      </w:pPr>
      <w:r>
        <w:rPr>
          <w:rFonts w:ascii="Calibri" w:hAnsi="Calibri"/>
          <w:color w:val="auto"/>
          <w:sz w:val="24"/>
        </w:rPr>
        <w:t xml:space="preserve">   B．注册地址：</w:t>
      </w:r>
    </w:p>
    <w:p>
      <w:pPr>
        <w:adjustRightInd w:val="0"/>
        <w:snapToGrid w:val="0"/>
        <w:spacing w:line="288" w:lineRule="auto"/>
        <w:rPr>
          <w:rFonts w:ascii="Calibri" w:hAnsi="Calibri"/>
          <w:color w:val="auto"/>
          <w:sz w:val="24"/>
          <w:u w:val="single"/>
        </w:rPr>
      </w:pPr>
      <w:r>
        <w:rPr>
          <w:rFonts w:ascii="Calibri" w:hAnsi="Calibri"/>
          <w:color w:val="auto"/>
          <w:sz w:val="24"/>
        </w:rPr>
        <w:t xml:space="preserve">      传真：   电话：  邮编：</w:t>
      </w:r>
    </w:p>
    <w:p>
      <w:pPr>
        <w:adjustRightInd w:val="0"/>
        <w:snapToGrid w:val="0"/>
        <w:spacing w:line="288" w:lineRule="auto"/>
        <w:rPr>
          <w:rFonts w:ascii="Calibri" w:hAnsi="Calibri"/>
          <w:color w:val="auto"/>
          <w:sz w:val="24"/>
          <w:u w:val="single"/>
        </w:rPr>
      </w:pPr>
      <w:r>
        <w:rPr>
          <w:rFonts w:ascii="Calibri" w:hAnsi="Calibri"/>
          <w:color w:val="auto"/>
          <w:sz w:val="24"/>
        </w:rPr>
        <w:t xml:space="preserve">   C．成立或注册日期：</w:t>
      </w:r>
    </w:p>
    <w:p>
      <w:pPr>
        <w:adjustRightInd w:val="0"/>
        <w:snapToGrid w:val="0"/>
        <w:spacing w:line="288" w:lineRule="auto"/>
        <w:rPr>
          <w:rFonts w:ascii="Calibri" w:hAnsi="Calibri"/>
          <w:color w:val="auto"/>
          <w:sz w:val="24"/>
        </w:rPr>
      </w:pPr>
      <w:r>
        <w:rPr>
          <w:rFonts w:ascii="Calibri" w:hAnsi="Calibri"/>
          <w:color w:val="auto"/>
          <w:sz w:val="24"/>
        </w:rPr>
        <w:t xml:space="preserve">   D．法人代表：(姓名、职务)</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实收资本：</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 xml:space="preserve">其中 国家资本：     法人资本： </w:t>
      </w:r>
    </w:p>
    <w:p>
      <w:pPr>
        <w:adjustRightInd w:val="0"/>
        <w:snapToGrid w:val="0"/>
        <w:spacing w:line="288" w:lineRule="auto"/>
        <w:rPr>
          <w:rFonts w:ascii="Calibri" w:hAnsi="Calibri"/>
          <w:color w:val="auto"/>
          <w:sz w:val="24"/>
        </w:rPr>
      </w:pPr>
      <w:r>
        <w:rPr>
          <w:rFonts w:ascii="Calibri" w:hAnsi="Calibri"/>
          <w:color w:val="auto"/>
          <w:sz w:val="24"/>
        </w:rPr>
        <w:t xml:space="preserve">           个人资本：       外商资本： </w:t>
      </w:r>
    </w:p>
    <w:p>
      <w:pPr>
        <w:adjustRightInd w:val="0"/>
        <w:snapToGrid w:val="0"/>
        <w:spacing w:line="288" w:lineRule="auto"/>
        <w:rPr>
          <w:rFonts w:ascii="Calibri" w:hAnsi="Calibri"/>
          <w:color w:val="auto"/>
          <w:sz w:val="24"/>
        </w:rPr>
      </w:pPr>
      <w:r>
        <w:rPr>
          <w:rFonts w:ascii="Calibri" w:hAnsi="Calibri"/>
          <w:color w:val="auto"/>
          <w:sz w:val="24"/>
        </w:rPr>
        <w:t xml:space="preserve">   E．最近资产负债表(到年月日为止)。</w:t>
      </w:r>
    </w:p>
    <w:p>
      <w:pPr>
        <w:adjustRightInd w:val="0"/>
        <w:snapToGrid w:val="0"/>
        <w:spacing w:line="288" w:lineRule="auto"/>
        <w:ind w:left="720"/>
        <w:rPr>
          <w:rFonts w:ascii="Calibri" w:hAnsi="Calibri"/>
          <w:color w:val="auto"/>
          <w:sz w:val="24"/>
        </w:rPr>
      </w:pPr>
      <w:r>
        <w:rPr>
          <w:rFonts w:ascii="Calibri" w:hAnsi="Calibri"/>
          <w:color w:val="auto"/>
          <w:sz w:val="24"/>
        </w:rPr>
        <w:t>(1)固定资产合计：</w:t>
      </w:r>
    </w:p>
    <w:p>
      <w:pPr>
        <w:adjustRightInd w:val="0"/>
        <w:snapToGrid w:val="0"/>
        <w:spacing w:line="288" w:lineRule="auto"/>
        <w:ind w:left="720"/>
        <w:rPr>
          <w:rFonts w:ascii="Calibri" w:hAnsi="Calibri"/>
          <w:color w:val="auto"/>
          <w:sz w:val="24"/>
        </w:rPr>
      </w:pPr>
      <w:r>
        <w:rPr>
          <w:rFonts w:ascii="Calibri" w:hAnsi="Calibri"/>
          <w:color w:val="auto"/>
          <w:sz w:val="24"/>
        </w:rPr>
        <w:t>(2)流动资产合计：</w:t>
      </w:r>
    </w:p>
    <w:p>
      <w:pPr>
        <w:adjustRightInd w:val="0"/>
        <w:snapToGrid w:val="0"/>
        <w:spacing w:line="288" w:lineRule="auto"/>
        <w:ind w:left="720"/>
        <w:rPr>
          <w:rFonts w:ascii="Calibri" w:hAnsi="Calibri"/>
          <w:color w:val="auto"/>
          <w:sz w:val="24"/>
        </w:rPr>
      </w:pPr>
      <w:r>
        <w:rPr>
          <w:rFonts w:ascii="Calibri" w:hAnsi="Calibri"/>
          <w:color w:val="auto"/>
          <w:sz w:val="24"/>
        </w:rPr>
        <w:t>(3)长期负债合计：</w:t>
      </w:r>
    </w:p>
    <w:p>
      <w:pPr>
        <w:adjustRightInd w:val="0"/>
        <w:snapToGrid w:val="0"/>
        <w:spacing w:line="288" w:lineRule="auto"/>
        <w:ind w:left="720"/>
        <w:rPr>
          <w:rFonts w:ascii="Calibri" w:hAnsi="Calibri"/>
          <w:color w:val="auto"/>
          <w:sz w:val="24"/>
        </w:rPr>
      </w:pPr>
      <w:r>
        <w:rPr>
          <w:rFonts w:ascii="Calibri" w:hAnsi="Calibri"/>
          <w:color w:val="auto"/>
          <w:sz w:val="24"/>
        </w:rPr>
        <w:t>(4)流动负债合计：</w:t>
      </w:r>
    </w:p>
    <w:p>
      <w:pPr>
        <w:adjustRightInd w:val="0"/>
        <w:snapToGrid w:val="0"/>
        <w:spacing w:line="288" w:lineRule="auto"/>
        <w:rPr>
          <w:rFonts w:ascii="Calibri" w:hAnsi="Calibri"/>
          <w:color w:val="auto"/>
          <w:sz w:val="24"/>
        </w:rPr>
      </w:pPr>
      <w:r>
        <w:rPr>
          <w:rFonts w:ascii="Calibri" w:hAnsi="Calibri"/>
          <w:color w:val="auto"/>
          <w:sz w:val="24"/>
        </w:rPr>
        <w:t xml:space="preserve">   F．最近损失表(到年月日为止)。</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(1)本年(期)利润总额累计：</w:t>
      </w:r>
    </w:p>
    <w:p>
      <w:pPr>
        <w:adjustRightInd w:val="0"/>
        <w:snapToGrid w:val="0"/>
        <w:spacing w:line="288" w:lineRule="auto"/>
        <w:ind w:firstLine="720" w:firstLineChars="300"/>
        <w:rPr>
          <w:rFonts w:ascii="Calibri" w:hAnsi="Calibri"/>
          <w:color w:val="auto"/>
          <w:sz w:val="24"/>
          <w:u w:val="single"/>
        </w:rPr>
      </w:pPr>
      <w:r>
        <w:rPr>
          <w:rFonts w:ascii="Calibri" w:hAnsi="Calibri"/>
          <w:color w:val="auto"/>
          <w:sz w:val="24"/>
        </w:rPr>
        <w:t>(2)本年(期)净利润累计：</w:t>
      </w:r>
    </w:p>
    <w:p>
      <w:pPr>
        <w:rPr>
          <w:rFonts w:ascii="Calibri" w:hAnsi="Calibri"/>
          <w:b/>
          <w:bCs/>
          <w:color w:val="auto"/>
          <w:sz w:val="24"/>
        </w:rPr>
      </w:pPr>
    </w:p>
    <w:p>
      <w:pPr>
        <w:ind w:firstLine="482" w:firstLineChars="200"/>
        <w:rPr>
          <w:rFonts w:ascii="Calibri" w:hAnsi="Calibri"/>
          <w:b/>
          <w:bCs/>
          <w:color w:val="auto"/>
          <w:sz w:val="24"/>
        </w:rPr>
      </w:pPr>
      <w:r>
        <w:rPr>
          <w:rFonts w:hint="eastAsia" w:ascii="Calibri" w:hAnsi="Calibri"/>
          <w:b/>
          <w:bCs/>
          <w:color w:val="auto"/>
          <w:sz w:val="24"/>
        </w:rPr>
        <w:t>2</w:t>
      </w:r>
      <w:r>
        <w:rPr>
          <w:rFonts w:ascii="Calibri" w:hAnsi="Calibri"/>
          <w:b/>
          <w:bCs/>
          <w:color w:val="auto"/>
          <w:sz w:val="24"/>
        </w:rPr>
        <w:t>．投标方近三年的营业总额：</w:t>
      </w:r>
    </w:p>
    <w:tbl>
      <w:tblPr>
        <w:tblStyle w:val="11"/>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rPr>
            </w:pPr>
            <w:r>
              <w:rPr>
                <w:rFonts w:ascii="Calibri" w:hAnsi="Calibri"/>
                <w:color w:val="auto"/>
                <w:sz w:val="24"/>
              </w:rPr>
              <w:t>年  度</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内  销</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出  口</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bl>
    <w:p>
      <w:pPr>
        <w:rPr>
          <w:rFonts w:ascii="Calibri" w:hAnsi="Calibri"/>
          <w:color w:val="auto"/>
          <w:sz w:val="24"/>
        </w:rPr>
      </w:pPr>
    </w:p>
    <w:p>
      <w:pPr>
        <w:spacing w:line="380" w:lineRule="exact"/>
        <w:ind w:firstLine="482" w:firstLineChars="200"/>
        <w:rPr>
          <w:rFonts w:ascii="Calibri" w:hAnsi="Calibri"/>
          <w:color w:val="auto"/>
          <w:sz w:val="24"/>
        </w:rPr>
      </w:pPr>
      <w:r>
        <w:rPr>
          <w:rFonts w:hint="eastAsia" w:ascii="Calibri" w:hAnsi="Calibri"/>
          <w:b/>
          <w:bCs/>
          <w:color w:val="auto"/>
          <w:sz w:val="24"/>
        </w:rPr>
        <w:t>3</w:t>
      </w:r>
      <w:r>
        <w:rPr>
          <w:rFonts w:ascii="Calibri" w:hAnsi="Calibri"/>
          <w:b/>
          <w:bCs/>
          <w:color w:val="auto"/>
          <w:sz w:val="24"/>
        </w:rPr>
        <w:t>．提供资信证明的银行情况</w:t>
      </w:r>
      <w:r>
        <w:rPr>
          <w:rFonts w:ascii="Calibri" w:hAnsi="Calibri"/>
          <w:color w:val="auto"/>
          <w:sz w:val="24"/>
        </w:rPr>
        <w:t>：</w:t>
      </w:r>
    </w:p>
    <w:tbl>
      <w:tblPr>
        <w:tblStyle w:val="11"/>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ign w:val="center"/>
          </w:tcPr>
          <w:p>
            <w:pPr>
              <w:spacing w:line="380" w:lineRule="exact"/>
              <w:jc w:val="center"/>
              <w:rPr>
                <w:rFonts w:ascii="Calibri" w:hAnsi="Calibri"/>
                <w:color w:val="auto"/>
                <w:sz w:val="24"/>
              </w:rPr>
            </w:pPr>
            <w:r>
              <w:rPr>
                <w:rFonts w:ascii="Calibri" w:hAnsi="Calibri"/>
                <w:color w:val="auto"/>
                <w:sz w:val="24"/>
              </w:rPr>
              <w:t>银行名称</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地  址</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邮  编</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r>
    </w:tbl>
    <w:p>
      <w:pPr>
        <w:adjustRightInd w:val="0"/>
        <w:snapToGrid w:val="0"/>
        <w:spacing w:line="288" w:lineRule="auto"/>
        <w:rPr>
          <w:rFonts w:ascii="Calibri" w:hAnsi="Calibri"/>
          <w:color w:val="auto"/>
          <w:sz w:val="24"/>
        </w:rPr>
      </w:pPr>
    </w:p>
    <w:p>
      <w:pPr>
        <w:adjustRightInd w:val="0"/>
        <w:snapToGrid w:val="0"/>
        <w:spacing w:line="288" w:lineRule="auto"/>
        <w:ind w:firstLine="482" w:firstLineChars="200"/>
        <w:rPr>
          <w:rFonts w:ascii="Calibri" w:hAnsi="Calibri"/>
          <w:b/>
          <w:bCs/>
          <w:color w:val="auto"/>
          <w:sz w:val="24"/>
        </w:rPr>
      </w:pPr>
      <w:r>
        <w:rPr>
          <w:rFonts w:hint="eastAsia" w:ascii="Calibri" w:hAnsi="Calibri"/>
          <w:b/>
          <w:bCs/>
          <w:color w:val="auto"/>
          <w:sz w:val="24"/>
        </w:rPr>
        <w:t>4</w:t>
      </w:r>
      <w:r>
        <w:rPr>
          <w:rFonts w:ascii="Calibri" w:hAnsi="Calibri"/>
          <w:b/>
          <w:bCs/>
          <w:color w:val="auto"/>
          <w:sz w:val="24"/>
        </w:rPr>
        <w:t>．所属财团、企业集团（如有的话）</w:t>
      </w:r>
      <w:r>
        <w:rPr>
          <w:rFonts w:ascii="Calibri" w:hAnsi="Calibri"/>
          <w:color w:val="auto"/>
          <w:sz w:val="24"/>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rPr>
        <w:sectPr>
          <w:pgSz w:w="11849" w:h="16781"/>
          <w:pgMar w:top="1440" w:right="1080" w:bottom="1440" w:left="1080" w:header="851" w:footer="992" w:gutter="0"/>
          <w:cols w:space="0" w:num="1"/>
          <w:docGrid w:type="lines" w:linePitch="323" w:charSpace="0"/>
        </w:sectPr>
      </w:pPr>
      <w:r>
        <w:rPr>
          <w:rFonts w:hint="eastAsia" w:ascii="Calibri" w:hAnsi="Calibri"/>
          <w:b/>
          <w:bCs/>
          <w:color w:val="auto"/>
          <w:sz w:val="24"/>
        </w:rPr>
        <w:t>5</w:t>
      </w:r>
      <w:r>
        <w:rPr>
          <w:rFonts w:ascii="Calibri" w:hAnsi="Calibri"/>
          <w:b/>
          <w:bCs/>
          <w:color w:val="auto"/>
          <w:sz w:val="24"/>
        </w:rPr>
        <w:t>．其它情况：</w:t>
      </w:r>
    </w:p>
    <w:p>
      <w:pPr>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附件（四）</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jc w:val="left"/>
        <w:rPr>
          <w:rFonts w:ascii="Calibri" w:hAnsi="Calibri"/>
          <w:color w:val="auto"/>
          <w:sz w:val="28"/>
        </w:rPr>
      </w:pP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附件（五）</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bookmarkStart w:id="0" w:name="_Toc530255538"/>
      <w:r>
        <w:rPr>
          <w:rFonts w:hint="eastAsia" w:ascii="Calibri" w:hAnsi="Calibri"/>
          <w:color w:val="auto"/>
          <w:sz w:val="28"/>
        </w:rPr>
        <w:t>我公司郑重声明，在参加集中招标采购活动（投标资料递交截止日）前三年内，经营活动中没有以下不良行为记录：</w:t>
      </w:r>
      <w:bookmarkEnd w:id="0"/>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jc w:val="left"/>
        <w:rPr>
          <w:rFonts w:ascii="Calibri" w:hAnsi="Calibri"/>
          <w:b/>
          <w:bCs/>
          <w:color w:val="auto"/>
          <w:sz w:val="28"/>
        </w:rPr>
      </w:pP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附件（六）</w:t>
      </w:r>
    </w:p>
    <w:p>
      <w:pPr>
        <w:adjustRightInd w:val="0"/>
        <w:snapToGrid w:val="0"/>
        <w:spacing w:line="288" w:lineRule="auto"/>
        <w:ind w:firstLine="480"/>
        <w:jc w:val="left"/>
        <w:rPr>
          <w:rFonts w:ascii="Calibri" w:hAnsi="Calibri"/>
          <w:b/>
          <w:bCs/>
          <w:color w:val="auto"/>
          <w:sz w:val="28"/>
        </w:rPr>
      </w:pPr>
    </w:p>
    <w:p>
      <w:pPr>
        <w:pStyle w:val="3"/>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3"/>
        <w:spacing w:line="500" w:lineRule="exact"/>
        <w:ind w:left="0"/>
        <w:rPr>
          <w:rFonts w:ascii="宋体" w:hAnsi="宋体" w:eastAsia="宋体"/>
          <w:b/>
          <w:color w:val="auto"/>
          <w:sz w:val="28"/>
          <w:szCs w:val="28"/>
        </w:rPr>
      </w:pPr>
    </w:p>
    <w:p>
      <w:pPr>
        <w:spacing w:beforeLines="20" w:afterLines="20" w:line="500" w:lineRule="exact"/>
        <w:ind w:firstLine="610"/>
        <w:rPr>
          <w:rFonts w:ascii="宋体"/>
          <w:color w:val="auto"/>
          <w:sz w:val="28"/>
          <w:szCs w:val="28"/>
        </w:rPr>
      </w:pPr>
      <w:r>
        <w:rPr>
          <w:rFonts w:hint="eastAsia" w:ascii="宋体" w:hAnsi="宋体"/>
          <w:color w:val="auto"/>
          <w:sz w:val="28"/>
          <w:szCs w:val="28"/>
        </w:rPr>
        <w:t>单位名称：</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单位性质：</w:t>
      </w:r>
    </w:p>
    <w:p>
      <w:pPr>
        <w:spacing w:beforeLines="20" w:afterLines="20" w:line="500" w:lineRule="exact"/>
        <w:ind w:firstLine="610"/>
        <w:rPr>
          <w:rFonts w:ascii="宋体"/>
          <w:color w:val="auto"/>
          <w:sz w:val="28"/>
          <w:szCs w:val="28"/>
        </w:rPr>
      </w:pPr>
      <w:r>
        <w:rPr>
          <w:rFonts w:hint="eastAsia" w:ascii="宋体" w:hAnsi="宋体"/>
          <w:color w:val="auto"/>
          <w:sz w:val="28"/>
          <w:szCs w:val="28"/>
        </w:rPr>
        <w:t>地址：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成立时间：年月日</w:t>
      </w:r>
    </w:p>
    <w:p>
      <w:pPr>
        <w:spacing w:beforeLines="20" w:afterLines="20" w:line="500" w:lineRule="exact"/>
        <w:ind w:firstLine="610"/>
        <w:rPr>
          <w:rFonts w:ascii="宋体"/>
          <w:color w:val="auto"/>
          <w:sz w:val="28"/>
          <w:szCs w:val="28"/>
        </w:rPr>
      </w:pPr>
      <w:r>
        <w:rPr>
          <w:rFonts w:hint="eastAsia" w:ascii="宋体" w:hAnsi="宋体"/>
          <w:color w:val="auto"/>
          <w:sz w:val="28"/>
          <w:szCs w:val="28"/>
        </w:rPr>
        <w:t>经营期限：</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姓名：性别：</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年龄：职务：</w:t>
      </w:r>
      <w:r>
        <w:rPr>
          <w:rFonts w:ascii="宋体"/>
          <w:color w:val="auto"/>
          <w:sz w:val="28"/>
          <w:szCs w:val="28"/>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（投标人单位名称）</w:t>
      </w:r>
      <w:r>
        <w:rPr>
          <w:rFonts w:hint="eastAsia" w:ascii="宋体" w:hAnsi="宋体"/>
          <w:color w:val="auto"/>
          <w:sz w:val="28"/>
          <w:szCs w:val="28"/>
        </w:rPr>
        <w:t>的法定代表人。</w:t>
      </w:r>
    </w:p>
    <w:p>
      <w:pPr>
        <w:spacing w:beforeLines="20" w:afterLines="20" w:line="500" w:lineRule="exact"/>
        <w:ind w:firstLine="610"/>
        <w:rPr>
          <w:rFonts w:ascii="宋体"/>
          <w:color w:val="auto"/>
          <w:sz w:val="28"/>
          <w:szCs w:val="28"/>
        </w:rPr>
      </w:pPr>
    </w:p>
    <w:p>
      <w:pPr>
        <w:pStyle w:val="3"/>
        <w:spacing w:beforeLines="20"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Lines="20" w:afterLines="20" w:line="500" w:lineRule="exact"/>
        <w:ind w:firstLine="560" w:firstLineChars="200"/>
        <w:rPr>
          <w:rFonts w:ascii="宋体"/>
          <w:color w:val="auto"/>
          <w:sz w:val="28"/>
          <w:szCs w:val="28"/>
        </w:rPr>
      </w:pPr>
    </w:p>
    <w:p>
      <w:pPr>
        <w:tabs>
          <w:tab w:val="left" w:pos="720"/>
          <w:tab w:val="left" w:pos="900"/>
        </w:tabs>
        <w:spacing w:beforeLines="20" w:afterLines="20" w:line="500" w:lineRule="exact"/>
        <w:jc w:val="right"/>
        <w:rPr>
          <w:rFonts w:asci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（盖公章）</w:t>
      </w:r>
    </w:p>
    <w:p>
      <w:pPr>
        <w:spacing w:beforeLines="20" w:afterLines="20" w:line="500" w:lineRule="exact"/>
        <w:jc w:val="right"/>
        <w:rPr>
          <w:rFonts w:ascii="宋体" w:hAnsi="宋体"/>
          <w:color w:val="auto"/>
          <w:sz w:val="28"/>
          <w:szCs w:val="28"/>
        </w:rPr>
      </w:pPr>
      <w:r>
        <w:rPr>
          <w:rFonts w:hint="eastAsia" w:ascii="宋体" w:hAnsi="宋体"/>
          <w:color w:val="auto"/>
          <w:sz w:val="28"/>
          <w:szCs w:val="28"/>
        </w:rPr>
        <w:t>日期：年月日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pStyle w:val="3"/>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3"/>
        <w:spacing w:line="500" w:lineRule="exact"/>
        <w:ind w:firstLine="560"/>
        <w:rPr>
          <w:rFonts w:ascii="宋体" w:hAnsi="宋体" w:eastAsia="宋体"/>
          <w:color w:val="auto"/>
          <w:sz w:val="28"/>
          <w:szCs w:val="28"/>
        </w:rPr>
      </w:pPr>
    </w:p>
    <w:p>
      <w:pPr>
        <w:pStyle w:val="3"/>
        <w:spacing w:line="440" w:lineRule="exact"/>
        <w:ind w:left="0"/>
        <w:rPr>
          <w:rFonts w:ascii="宋体" w:hAnsi="宋体" w:eastAsia="宋体" w:cs="宋体"/>
          <w:color w:val="auto"/>
          <w:sz w:val="24"/>
        </w:rPr>
      </w:pPr>
      <w:r>
        <w:rPr>
          <w:rFonts w:hint="eastAsia" w:ascii="宋体" w:hAnsi="宋体" w:eastAsia="宋体" w:cs="宋体"/>
          <w:color w:val="auto"/>
          <w:sz w:val="24"/>
        </w:rPr>
        <w:t>致：</w:t>
      </w:r>
    </w:p>
    <w:p>
      <w:pPr>
        <w:pStyle w:val="5"/>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本授权委托书声明：我（姓名）系</w:t>
      </w:r>
      <w:r>
        <w:rPr>
          <w:rFonts w:hint="eastAsia" w:ascii="宋体" w:hAnsi="宋体" w:cs="宋体"/>
          <w:color w:val="auto"/>
          <w:sz w:val="24"/>
          <w:u w:val="single"/>
        </w:rPr>
        <w:t>（投标人名称）</w:t>
      </w:r>
      <w:r>
        <w:rPr>
          <w:rFonts w:hint="eastAsia" w:ascii="宋体" w:hAnsi="宋体" w:cs="宋体"/>
          <w:color w:val="auto"/>
          <w:sz w:val="24"/>
        </w:rPr>
        <w:t>的法定代表人，现授权委托</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（姓名）</w:t>
      </w:r>
      <w:r>
        <w:rPr>
          <w:rFonts w:hint="eastAsia" w:ascii="宋体" w:hAnsi="宋体" w:cs="宋体"/>
          <w:color w:val="auto"/>
          <w:sz w:val="24"/>
        </w:rPr>
        <w:t>为我公司的合法代理人，就（项目名称）的投标，药品配送，以本公司的名义签署投标书，进行谈判、签署合同和处理与之有关的一切事宜。</w:t>
      </w:r>
    </w:p>
    <w:p>
      <w:pPr>
        <w:pStyle w:val="3"/>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代理人：</w:t>
      </w:r>
      <w:r>
        <w:rPr>
          <w:rFonts w:hint="eastAsia" w:ascii="宋体" w:hAnsi="宋体" w:cs="宋体"/>
          <w:color w:val="auto"/>
          <w:sz w:val="24"/>
          <w:u w:val="single"/>
        </w:rPr>
        <w:t>（签字）</w:t>
      </w:r>
      <w:r>
        <w:rPr>
          <w:rFonts w:hint="eastAsia" w:ascii="宋体" w:hAnsi="宋体" w:cs="宋体"/>
          <w:color w:val="auto"/>
          <w:sz w:val="24"/>
        </w:rPr>
        <w:t>性别：年龄：</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身份证号码：职务：</w:t>
      </w:r>
    </w:p>
    <w:p>
      <w:pPr>
        <w:adjustRightInd w:val="0"/>
        <w:snapToGrid w:val="0"/>
        <w:spacing w:line="400" w:lineRule="exact"/>
        <w:rPr>
          <w:rFonts w:asci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（盖章或签字）</w:t>
      </w:r>
    </w:p>
    <w:p>
      <w:pPr>
        <w:adjustRightInd w:val="0"/>
        <w:snapToGrid w:val="0"/>
        <w:spacing w:beforeLines="20" w:afterLines="20" w:line="440" w:lineRule="exact"/>
        <w:jc w:val="center"/>
        <w:rPr>
          <w:rFonts w:ascii="宋体" w:cs="宋体"/>
          <w:color w:val="auto"/>
          <w:sz w:val="24"/>
        </w:rPr>
      </w:pPr>
    </w:p>
    <w:p>
      <w:pPr>
        <w:adjustRightInd w:val="0"/>
        <w:snapToGrid w:val="0"/>
        <w:spacing w:beforeLines="20"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1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rPr>
            </w:pPr>
          </w:p>
        </w:tc>
        <w:tc>
          <w:tcPr>
            <w:tcW w:w="3900" w:type="dxa"/>
          </w:tcPr>
          <w:p>
            <w:pPr>
              <w:adjustRightInd w:val="0"/>
              <w:snapToGrid w:val="0"/>
              <w:spacing w:beforeLines="20"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11"/>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ind w:firstLine="4800" w:firstLineChars="2000"/>
        <w:jc w:val="left"/>
        <w:rPr>
          <w:rFonts w:ascii="宋体" w:hAnsi="宋体" w:cs="宋体"/>
          <w:color w:val="auto"/>
          <w:sz w:val="24"/>
        </w:rPr>
      </w:pPr>
      <w:r>
        <w:rPr>
          <w:rFonts w:hint="eastAsia" w:ascii="宋体" w:hAnsi="宋体" w:cs="宋体"/>
          <w:color w:val="auto"/>
          <w:sz w:val="24"/>
        </w:rPr>
        <w:t>授权日期：____年____月____日</w:t>
      </w:r>
    </w:p>
    <w:p>
      <w:pPr>
        <w:ind w:firstLine="4800" w:firstLineChars="2000"/>
        <w:jc w:val="left"/>
        <w:rPr>
          <w:rFonts w:ascii="宋体" w:hAnsi="宋体" w:cs="宋体"/>
          <w:color w:val="auto"/>
          <w:sz w:val="24"/>
        </w:rPr>
      </w:pPr>
    </w:p>
    <w:p>
      <w:pPr>
        <w:rPr>
          <w:b/>
          <w:bCs/>
          <w:color w:val="auto"/>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D5138"/>
    <w:multiLevelType w:val="singleLevel"/>
    <w:tmpl w:val="4F1D5138"/>
    <w:lvl w:ilvl="0" w:tentative="0">
      <w:start w:val="1"/>
      <w:numFmt w:val="chineseCounting"/>
      <w:suff w:val="nothing"/>
      <w:lvlText w:val="%1、"/>
      <w:lvlJc w:val="left"/>
      <w:rPr>
        <w:rFonts w:hint="eastAsia"/>
      </w:rPr>
    </w:lvl>
  </w:abstractNum>
  <w:abstractNum w:abstractNumId="1">
    <w:nsid w:val="5429C7CB"/>
    <w:multiLevelType w:val="singleLevel"/>
    <w:tmpl w:val="5429C7CB"/>
    <w:lvl w:ilvl="0" w:tentative="0">
      <w:start w:val="2"/>
      <w:numFmt w:val="chineseCounting"/>
      <w:suff w:val="nothing"/>
      <w:lvlText w:val="（%1）"/>
      <w:lvlJc w:val="left"/>
      <w:rPr>
        <w:rFonts w:hint="eastAsia"/>
      </w:rPr>
    </w:lvl>
  </w:abstractNum>
  <w:abstractNum w:abstractNumId="2">
    <w:nsid w:val="6217D410"/>
    <w:multiLevelType w:val="singleLevel"/>
    <w:tmpl w:val="6217D410"/>
    <w:lvl w:ilvl="0" w:tentative="0">
      <w:start w:val="6"/>
      <w:numFmt w:val="chineseCounting"/>
      <w:suff w:val="nothing"/>
      <w:lvlText w:val="%1、"/>
      <w:lvlJc w:val="left"/>
      <w:rPr>
        <w:rFonts w:hint="eastAsia"/>
      </w:rPr>
    </w:lvl>
  </w:abstractNum>
  <w:abstractNum w:abstractNumId="3">
    <w:nsid w:val="6834721D"/>
    <w:multiLevelType w:val="multilevel"/>
    <w:tmpl w:val="683472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A817075"/>
    <w:rsid w:val="00037FEE"/>
    <w:rsid w:val="000A1E35"/>
    <w:rsid w:val="000D68E8"/>
    <w:rsid w:val="00193B9D"/>
    <w:rsid w:val="00222FF4"/>
    <w:rsid w:val="00287215"/>
    <w:rsid w:val="002E38A6"/>
    <w:rsid w:val="00412A25"/>
    <w:rsid w:val="00441834"/>
    <w:rsid w:val="004862C6"/>
    <w:rsid w:val="00561CDB"/>
    <w:rsid w:val="005E645E"/>
    <w:rsid w:val="0066595A"/>
    <w:rsid w:val="006C2768"/>
    <w:rsid w:val="008A6A3F"/>
    <w:rsid w:val="00974127"/>
    <w:rsid w:val="00AC00CB"/>
    <w:rsid w:val="00B50549"/>
    <w:rsid w:val="00BF4C7E"/>
    <w:rsid w:val="00C66F6C"/>
    <w:rsid w:val="00CE4267"/>
    <w:rsid w:val="00D141B1"/>
    <w:rsid w:val="00D4604A"/>
    <w:rsid w:val="00D55ABB"/>
    <w:rsid w:val="00E14F34"/>
    <w:rsid w:val="00E835BF"/>
    <w:rsid w:val="00F271B3"/>
    <w:rsid w:val="00F51D70"/>
    <w:rsid w:val="01226FD3"/>
    <w:rsid w:val="020E02AA"/>
    <w:rsid w:val="02217FDE"/>
    <w:rsid w:val="03716266"/>
    <w:rsid w:val="03E1424D"/>
    <w:rsid w:val="03F209E6"/>
    <w:rsid w:val="0438160E"/>
    <w:rsid w:val="05DE0356"/>
    <w:rsid w:val="06523C1B"/>
    <w:rsid w:val="0703665A"/>
    <w:rsid w:val="07296238"/>
    <w:rsid w:val="079F1AD6"/>
    <w:rsid w:val="08070A00"/>
    <w:rsid w:val="081D1B48"/>
    <w:rsid w:val="08BD2E41"/>
    <w:rsid w:val="091221F6"/>
    <w:rsid w:val="099E012D"/>
    <w:rsid w:val="09CA2C9A"/>
    <w:rsid w:val="09FB7366"/>
    <w:rsid w:val="0A6930D3"/>
    <w:rsid w:val="0AD01ACC"/>
    <w:rsid w:val="0BD12E57"/>
    <w:rsid w:val="0C425936"/>
    <w:rsid w:val="0C6311F3"/>
    <w:rsid w:val="0CD20E38"/>
    <w:rsid w:val="0D8B62CF"/>
    <w:rsid w:val="0E223E30"/>
    <w:rsid w:val="0ED168E7"/>
    <w:rsid w:val="0ED73F12"/>
    <w:rsid w:val="0F497EED"/>
    <w:rsid w:val="0F576BB0"/>
    <w:rsid w:val="0FC63F51"/>
    <w:rsid w:val="10345659"/>
    <w:rsid w:val="109814AD"/>
    <w:rsid w:val="10B4760D"/>
    <w:rsid w:val="110A7811"/>
    <w:rsid w:val="1162613C"/>
    <w:rsid w:val="117B2BD1"/>
    <w:rsid w:val="12767ED2"/>
    <w:rsid w:val="12FD6B41"/>
    <w:rsid w:val="13EA1322"/>
    <w:rsid w:val="16542D15"/>
    <w:rsid w:val="176D6FAE"/>
    <w:rsid w:val="180A7CA2"/>
    <w:rsid w:val="18296CD0"/>
    <w:rsid w:val="184A3267"/>
    <w:rsid w:val="19C1361F"/>
    <w:rsid w:val="19D04BEE"/>
    <w:rsid w:val="1A0B2B4B"/>
    <w:rsid w:val="1A360951"/>
    <w:rsid w:val="1A7E72D6"/>
    <w:rsid w:val="1A817075"/>
    <w:rsid w:val="1B8863B7"/>
    <w:rsid w:val="1BBD7E4A"/>
    <w:rsid w:val="1C022003"/>
    <w:rsid w:val="1CE353AB"/>
    <w:rsid w:val="1D2A3557"/>
    <w:rsid w:val="1D5C7CC4"/>
    <w:rsid w:val="1D7842FF"/>
    <w:rsid w:val="1DB47C8E"/>
    <w:rsid w:val="1DB64C80"/>
    <w:rsid w:val="1DC955DA"/>
    <w:rsid w:val="1DF738E8"/>
    <w:rsid w:val="1DFC76A4"/>
    <w:rsid w:val="1E0A72B2"/>
    <w:rsid w:val="1E107DB8"/>
    <w:rsid w:val="1E2F0EC2"/>
    <w:rsid w:val="1E4F0413"/>
    <w:rsid w:val="1E994ECE"/>
    <w:rsid w:val="1ECD441A"/>
    <w:rsid w:val="1F776E38"/>
    <w:rsid w:val="20281B18"/>
    <w:rsid w:val="202F5CD0"/>
    <w:rsid w:val="20857D67"/>
    <w:rsid w:val="20F3093F"/>
    <w:rsid w:val="21B71C80"/>
    <w:rsid w:val="21BD3137"/>
    <w:rsid w:val="22971EA1"/>
    <w:rsid w:val="23F277B3"/>
    <w:rsid w:val="24D97340"/>
    <w:rsid w:val="24DB58A5"/>
    <w:rsid w:val="250D077C"/>
    <w:rsid w:val="25823BA3"/>
    <w:rsid w:val="25DB6B0F"/>
    <w:rsid w:val="26C54B2C"/>
    <w:rsid w:val="26D233BC"/>
    <w:rsid w:val="271A4C9D"/>
    <w:rsid w:val="273B4852"/>
    <w:rsid w:val="27C7014E"/>
    <w:rsid w:val="283E3075"/>
    <w:rsid w:val="28747C31"/>
    <w:rsid w:val="28870BE3"/>
    <w:rsid w:val="28DB2145"/>
    <w:rsid w:val="29715F6D"/>
    <w:rsid w:val="29900912"/>
    <w:rsid w:val="29F26E00"/>
    <w:rsid w:val="2A1A5A44"/>
    <w:rsid w:val="2A623E81"/>
    <w:rsid w:val="2AEF5B9F"/>
    <w:rsid w:val="2AF97660"/>
    <w:rsid w:val="2B7219AC"/>
    <w:rsid w:val="2BAB75E6"/>
    <w:rsid w:val="2BB84FBD"/>
    <w:rsid w:val="2BEE0D24"/>
    <w:rsid w:val="2CC60554"/>
    <w:rsid w:val="2D1B5DDF"/>
    <w:rsid w:val="2E3E28F9"/>
    <w:rsid w:val="2E667D12"/>
    <w:rsid w:val="2F1123FA"/>
    <w:rsid w:val="2F403F00"/>
    <w:rsid w:val="2F6721B6"/>
    <w:rsid w:val="2FF010AF"/>
    <w:rsid w:val="305D35B2"/>
    <w:rsid w:val="30911322"/>
    <w:rsid w:val="30915416"/>
    <w:rsid w:val="30A77E92"/>
    <w:rsid w:val="30AB75D0"/>
    <w:rsid w:val="321867DC"/>
    <w:rsid w:val="33932966"/>
    <w:rsid w:val="349124F1"/>
    <w:rsid w:val="35142E7F"/>
    <w:rsid w:val="351E2C7D"/>
    <w:rsid w:val="361A4AD3"/>
    <w:rsid w:val="364803A8"/>
    <w:rsid w:val="36A722F9"/>
    <w:rsid w:val="37953C35"/>
    <w:rsid w:val="3797360D"/>
    <w:rsid w:val="3891007F"/>
    <w:rsid w:val="39103D70"/>
    <w:rsid w:val="39AD7567"/>
    <w:rsid w:val="3A9A2CD8"/>
    <w:rsid w:val="3AAE1F18"/>
    <w:rsid w:val="3B220329"/>
    <w:rsid w:val="3BA5384D"/>
    <w:rsid w:val="3C0C2559"/>
    <w:rsid w:val="3C5039FD"/>
    <w:rsid w:val="3CE67CF2"/>
    <w:rsid w:val="3D2A213F"/>
    <w:rsid w:val="3D3A44DA"/>
    <w:rsid w:val="3D566136"/>
    <w:rsid w:val="3D566573"/>
    <w:rsid w:val="3D852697"/>
    <w:rsid w:val="3EB277ED"/>
    <w:rsid w:val="3F0A7128"/>
    <w:rsid w:val="3F204BFC"/>
    <w:rsid w:val="403D1770"/>
    <w:rsid w:val="42222F9E"/>
    <w:rsid w:val="429D40B9"/>
    <w:rsid w:val="42FF0E7C"/>
    <w:rsid w:val="438B33C3"/>
    <w:rsid w:val="43DD66FA"/>
    <w:rsid w:val="44202F4A"/>
    <w:rsid w:val="44983A8D"/>
    <w:rsid w:val="45467C94"/>
    <w:rsid w:val="45CD0EAF"/>
    <w:rsid w:val="463F4038"/>
    <w:rsid w:val="46457EFE"/>
    <w:rsid w:val="46657938"/>
    <w:rsid w:val="4703102D"/>
    <w:rsid w:val="4760262A"/>
    <w:rsid w:val="476B7A34"/>
    <w:rsid w:val="481B2DAE"/>
    <w:rsid w:val="48B24FFD"/>
    <w:rsid w:val="48BC230F"/>
    <w:rsid w:val="49513B25"/>
    <w:rsid w:val="49E113CD"/>
    <w:rsid w:val="4AFA5257"/>
    <w:rsid w:val="4B5A2962"/>
    <w:rsid w:val="4B6D4DB9"/>
    <w:rsid w:val="4B760AE3"/>
    <w:rsid w:val="4BA754D9"/>
    <w:rsid w:val="4BF746D5"/>
    <w:rsid w:val="4C4C04F9"/>
    <w:rsid w:val="4C542C9B"/>
    <w:rsid w:val="4DDB79D1"/>
    <w:rsid w:val="4E02138F"/>
    <w:rsid w:val="4E4D1D5B"/>
    <w:rsid w:val="4E7916EA"/>
    <w:rsid w:val="4EF70F51"/>
    <w:rsid w:val="4F1E4F13"/>
    <w:rsid w:val="50491379"/>
    <w:rsid w:val="50940F47"/>
    <w:rsid w:val="50EA5EA6"/>
    <w:rsid w:val="50F55AF7"/>
    <w:rsid w:val="521014B6"/>
    <w:rsid w:val="52A25052"/>
    <w:rsid w:val="52FE69E8"/>
    <w:rsid w:val="531B2A2A"/>
    <w:rsid w:val="5362536C"/>
    <w:rsid w:val="538C6C08"/>
    <w:rsid w:val="539F738C"/>
    <w:rsid w:val="53D133DB"/>
    <w:rsid w:val="55F97762"/>
    <w:rsid w:val="56185D11"/>
    <w:rsid w:val="56856B95"/>
    <w:rsid w:val="56C17557"/>
    <w:rsid w:val="56EB388B"/>
    <w:rsid w:val="57067081"/>
    <w:rsid w:val="577B4B3D"/>
    <w:rsid w:val="584A21AC"/>
    <w:rsid w:val="59E7284C"/>
    <w:rsid w:val="5B1A3B33"/>
    <w:rsid w:val="5B3221AA"/>
    <w:rsid w:val="5CA47A37"/>
    <w:rsid w:val="5CCF18B3"/>
    <w:rsid w:val="5CD5046F"/>
    <w:rsid w:val="5CDB69BA"/>
    <w:rsid w:val="5CEA7B62"/>
    <w:rsid w:val="5D103A08"/>
    <w:rsid w:val="5D6172C5"/>
    <w:rsid w:val="5D9E51B4"/>
    <w:rsid w:val="5E7D7F49"/>
    <w:rsid w:val="5E9300A5"/>
    <w:rsid w:val="5F6C3D19"/>
    <w:rsid w:val="5FBE6142"/>
    <w:rsid w:val="5FE04D41"/>
    <w:rsid w:val="612442CF"/>
    <w:rsid w:val="61F03094"/>
    <w:rsid w:val="62C40997"/>
    <w:rsid w:val="64A07A63"/>
    <w:rsid w:val="64E44FC5"/>
    <w:rsid w:val="665E7D52"/>
    <w:rsid w:val="66C572FD"/>
    <w:rsid w:val="66D87203"/>
    <w:rsid w:val="67985FF4"/>
    <w:rsid w:val="68104859"/>
    <w:rsid w:val="6B2A03F5"/>
    <w:rsid w:val="6B61454C"/>
    <w:rsid w:val="6B9F79E1"/>
    <w:rsid w:val="6C74586A"/>
    <w:rsid w:val="6CCB2BF4"/>
    <w:rsid w:val="6DCE0390"/>
    <w:rsid w:val="6E492F1A"/>
    <w:rsid w:val="6EBF174B"/>
    <w:rsid w:val="6EFC1D3A"/>
    <w:rsid w:val="6F8958F4"/>
    <w:rsid w:val="6FAA49AD"/>
    <w:rsid w:val="6FBE40B3"/>
    <w:rsid w:val="71205775"/>
    <w:rsid w:val="713A7432"/>
    <w:rsid w:val="71843404"/>
    <w:rsid w:val="71C81208"/>
    <w:rsid w:val="72EB459F"/>
    <w:rsid w:val="734946AB"/>
    <w:rsid w:val="737F1464"/>
    <w:rsid w:val="73905899"/>
    <w:rsid w:val="73DC03FC"/>
    <w:rsid w:val="744E3375"/>
    <w:rsid w:val="74AD4FFC"/>
    <w:rsid w:val="74D54629"/>
    <w:rsid w:val="75AA03FA"/>
    <w:rsid w:val="75DC76B1"/>
    <w:rsid w:val="76156334"/>
    <w:rsid w:val="76AF69D0"/>
    <w:rsid w:val="76DD4B47"/>
    <w:rsid w:val="76F46F53"/>
    <w:rsid w:val="773D3E27"/>
    <w:rsid w:val="77577AAC"/>
    <w:rsid w:val="77A320D3"/>
    <w:rsid w:val="77BF701D"/>
    <w:rsid w:val="78177BE5"/>
    <w:rsid w:val="785D5768"/>
    <w:rsid w:val="7A0135D6"/>
    <w:rsid w:val="7A1E49E7"/>
    <w:rsid w:val="7A660A84"/>
    <w:rsid w:val="7A7203B2"/>
    <w:rsid w:val="7AAC51DB"/>
    <w:rsid w:val="7AC56533"/>
    <w:rsid w:val="7BAE7754"/>
    <w:rsid w:val="7BE2675B"/>
    <w:rsid w:val="7C181F62"/>
    <w:rsid w:val="7C417926"/>
    <w:rsid w:val="7CBF4AFA"/>
    <w:rsid w:val="7D9A0B12"/>
    <w:rsid w:val="7DDC4D28"/>
    <w:rsid w:val="7E4D06CC"/>
    <w:rsid w:val="7EBF77CF"/>
    <w:rsid w:val="7EC535BB"/>
    <w:rsid w:val="7FA5585F"/>
    <w:rsid w:val="7FBA6267"/>
    <w:rsid w:val="7FE77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5">
    <w:name w:val="List Continue"/>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99"/>
    <w:pPr>
      <w:jc w:val="center"/>
    </w:pPr>
    <w:rPr>
      <w:rFonts w:ascii="Times New Roman" w:hAnsi="Times New Roman" w:cs="Times New Roman"/>
      <w:sz w:val="28"/>
      <w:szCs w:val="2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3"/>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customStyle="1" w:styleId="15">
    <w:name w:val="font31"/>
    <w:basedOn w:val="13"/>
    <w:qFormat/>
    <w:uiPriority w:val="0"/>
    <w:rPr>
      <w:rFonts w:hint="eastAsia" w:ascii="宋体" w:hAnsi="宋体" w:eastAsia="宋体" w:cs="宋体"/>
      <w:color w:val="000000"/>
      <w:sz w:val="18"/>
      <w:szCs w:val="18"/>
      <w:u w:val="none"/>
    </w:rPr>
  </w:style>
  <w:style w:type="character" w:customStyle="1" w:styleId="16">
    <w:name w:val="font11"/>
    <w:basedOn w:val="13"/>
    <w:qFormat/>
    <w:uiPriority w:val="0"/>
    <w:rPr>
      <w:rFonts w:hint="default" w:ascii="Times New Roman" w:hAnsi="Times New Roman" w:cs="Times New Roman"/>
      <w:color w:val="000000"/>
      <w:sz w:val="18"/>
      <w:szCs w:val="18"/>
      <w:u w:val="none"/>
    </w:rPr>
  </w:style>
  <w:style w:type="paragraph" w:customStyle="1" w:styleId="17">
    <w:name w:val="dl"/>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 w:type="character" w:customStyle="1" w:styleId="18">
    <w:name w:val="font21"/>
    <w:basedOn w:val="13"/>
    <w:qFormat/>
    <w:uiPriority w:val="0"/>
    <w:rPr>
      <w:rFonts w:hint="eastAsia" w:ascii="宋体" w:hAnsi="宋体" w:eastAsia="宋体" w:cs="宋体"/>
      <w:color w:val="000000"/>
      <w:sz w:val="21"/>
      <w:szCs w:val="21"/>
      <w:u w:val="none"/>
    </w:rPr>
  </w:style>
  <w:style w:type="character" w:customStyle="1" w:styleId="19">
    <w:name w:val="font51"/>
    <w:basedOn w:val="13"/>
    <w:qFormat/>
    <w:uiPriority w:val="0"/>
    <w:rPr>
      <w:rFonts w:hint="default" w:ascii="Times New Roman" w:hAnsi="Times New Roman" w:cs="Times New Roman"/>
      <w:color w:val="000000"/>
      <w:sz w:val="21"/>
      <w:szCs w:val="21"/>
      <w:u w:val="none"/>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C0A4C-E122-40BC-8530-C09D72A3D27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10102</Words>
  <Characters>10318</Characters>
  <Lines>78</Lines>
  <Paragraphs>22</Paragraphs>
  <TotalTime>0</TotalTime>
  <ScaleCrop>false</ScaleCrop>
  <LinksUpToDate>false</LinksUpToDate>
  <CharactersWithSpaces>10493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2021-04-30T09:59:00Z</dcterms:created>
  <dc:creator>影风</dc:creator>
  <cp:lastModifiedBy>尘土</cp:lastModifiedBy>
  <cp:lastPrinted>2022-04-29T16:59:00Z</cp:lastPrinted>
  <dcterms:modified xsi:type="dcterms:W3CDTF">2023-02-27T00:52:23Z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9E9E40D99D254189AC5BED83A27BF50C</vt:lpwstr>
  </property>
</Properties>
</file>