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安徽皖北康复医院分诊屏采购项目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分诊屏采购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安徽皖北康复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128480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壹拾贰万捌仟肆佰捌拾元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00元，必须由供应商基本账户汇出。比价保证金必须在比价截止时间前足额到达指定账号。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比价结束后，拟成交单位比价保证金由采购人留置，设备全部验收合格后一周内无息退还；其他单位的比价保证金按照采购人财务流程在次月15号后一周内无息退还。比价保证金银行回执比价前交于采购人审核。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投标保证金请汇至：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名称：安徽相王医疗健康股份有限公司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开户行：中国工商银行股份有限公司淮北人民东路支行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账号：9558851305000004078              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。比价</w:t>
            </w:r>
            <w:r>
              <w:rPr>
                <w:rFonts w:hint="eastAsia" w:ascii="Calibri" w:hAnsi="Calibri" w:cs="宋体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文件分为资格标和商务标两部分，分开密封，分别用文件袋密封，在封面注明清楚。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上午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9：00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上午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9：00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现金缴纳10</w:t>
            </w:r>
            <w:bookmarkStart w:id="1" w:name="_GoBack"/>
            <w:bookmarkEnd w:id="1"/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8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于202</w:t>
            </w:r>
            <w:r>
              <w:rPr>
                <w:rStyle w:val="18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2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8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11</w:t>
            </w:r>
            <w:r>
              <w:rPr>
                <w:rStyle w:val="18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both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</w:pPr>
      <w:r>
        <w:rPr>
          <w:rFonts w:hint="eastAsia" w:ascii="Calibri" w:hAnsi="Calibri" w:eastAsia="宋体" w:cs="宋体"/>
          <w:color w:val="auto"/>
          <w:kern w:val="2"/>
          <w:sz w:val="28"/>
          <w:szCs w:val="28"/>
          <w:u w:val="none"/>
          <w:lang w:val="en-US" w:eastAsia="zh-CN"/>
        </w:rPr>
        <w:t>安徽皖北康复</w:t>
      </w: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医院因发展需要，现采购分诊屏一批，接入我院叫号系统与导检系统，无后期相关软件接口费用，如无法成功对接，设备原价退还。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tbl>
      <w:tblPr>
        <w:tblStyle w:val="15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24"/>
        <w:gridCol w:w="957"/>
        <w:gridCol w:w="1773"/>
        <w:gridCol w:w="19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21.5寸液晶一体机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21.5寸壁挂签到机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一、21.5寸液晶一体机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1、芯片： 四核 Cortex-A7；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2、内存: ≥1GB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内置储存器：≥8G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液晶屏 BOE A级                                                               3、显示区域尺寸: 473.76（H）*296.1（V） 左右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显示模式 ：16：9                                                                4、分辨率: ≥1366*768     显示色彩 : ≥16.7M   </w:t>
      </w:r>
    </w:p>
    <w:p>
      <w:pPr>
        <w:numPr>
          <w:ilvl w:val="0"/>
          <w:numId w:val="0"/>
        </w:numPr>
        <w:snapToGrid w:val="0"/>
        <w:spacing w:line="460" w:lineRule="exact"/>
        <w:ind w:left="559" w:leftChars="266" w:firstLine="0" w:firstLineChars="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5、点距: 0.51075(H) x 0.51075(W)左右                                        6、亮度: ≥250 cd/㎡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对比度: ≥3000：1   可视角度:R/L，U/D   ≥178°  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二、</w:t>
      </w: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21.5寸壁挂签到机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1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、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CPU：i5 二代 双核四线程   主频≥1.4GHz，睿频频率  ≥ 2.3GHz 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2、内存：≥  4G  DDR3   硬盘：≥ 128G  SSD                   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3、分辨率：≥1920*1080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 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亮度≥350cd/m2  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4、显示模式： 16：9  </w:t>
      </w:r>
      <w:r>
        <w:rPr>
          <w:rFonts w:hint="eastAsia" w:ascii="Calibri" w:hAnsi="Calibri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 xml:space="preserve">对比度: ≥3000：1                                                              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  <w:t>★5、支持功能：扫码（一二维码识别）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jc w:val="left"/>
        <w:rPr>
          <w:rFonts w:hint="eastAsia" w:ascii="Calibri" w:hAnsi="Calibri" w:eastAsia="宋体" w:cs="宋体"/>
          <w:b w:val="0"/>
          <w:bCs w:val="0"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4.3液晶一体机、壁挂签到机样品彩色图片。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4.4 供应商认为需要提供的其他材料。</w:t>
      </w:r>
    </w:p>
    <w:p>
      <w:pPr>
        <w:pStyle w:val="2"/>
        <w:ind w:left="0" w:leftChars="0" w:firstLine="56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报价函材料列明目录，方便评委评审。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采用综合评分法，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综合评分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2"/>
        <w:ind w:left="0" w:leftChars="0"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.报价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评分标准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</w:pPr>
    </w:p>
    <w:tbl>
      <w:tblPr>
        <w:tblStyle w:val="14"/>
        <w:tblW w:w="974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02"/>
        <w:gridCol w:w="1056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0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 xml:space="preserve">评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eastAsia="zh-CN"/>
              </w:rPr>
              <w:t>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项 目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分值</w:t>
            </w:r>
          </w:p>
        </w:tc>
        <w:tc>
          <w:tcPr>
            <w:tcW w:w="58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8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响应报价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5874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/>
              </w:rPr>
              <w:t>所有通过评审的有效报价，最低报价为评标基准价得满分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/>
              </w:rPr>
              <w:t>。报价得分=（最低投标价/投标报价）×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质保期间承诺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Calibri" w:eastAsia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承诺：质保期为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年得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分，质保期为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年得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分，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eastAsia="zh-CN"/>
              </w:rPr>
              <w:t>三年得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0分。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（本项最高分</w:t>
            </w:r>
            <w:r>
              <w:rPr>
                <w:rFonts w:hint="eastAsia" w:ascii="华文仿宋" w:hAnsi="华文仿宋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华文仿宋" w:hAnsi="华文仿宋" w:eastAsia="宋体" w:cs="宋体"/>
                <w:color w:val="auto"/>
                <w:kern w:val="0"/>
                <w:sz w:val="28"/>
                <w:szCs w:val="28"/>
                <w:u w:val="none"/>
              </w:rPr>
              <w:t>分）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 xml:space="preserve"> 三、合同主要条款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价格：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价格执行乙方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价格。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（二）价格包括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1、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生产成本、搬运、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安装、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耗材、</w:t>
      </w:r>
      <w:r>
        <w:rPr>
          <w:rFonts w:hint="eastAsia" w:ascii="华文仿宋" w:hAnsi="华文仿宋" w:cs="宋体"/>
          <w:color w:val="auto"/>
          <w:sz w:val="28"/>
          <w:szCs w:val="28"/>
        </w:rPr>
        <w:t>调试、验收等所有投入和收益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pStyle w:val="19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9"/>
        <w:snapToGrid w:val="0"/>
        <w:spacing w:line="360" w:lineRule="auto"/>
        <w:ind w:left="0" w:leftChars="0"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45个自然日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内安装完毕，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</w:rPr>
        <w:t>的要求，甲方采购主办部门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安装调试</w:t>
      </w:r>
      <w:r>
        <w:rPr>
          <w:rFonts w:hint="eastAsia" w:ascii="华文仿宋" w:hAnsi="华文仿宋" w:cs="宋体"/>
          <w:color w:val="auto"/>
          <w:sz w:val="28"/>
          <w:szCs w:val="28"/>
        </w:rPr>
        <w:t>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三、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设备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设备到货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验收合格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后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支付合同价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款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50%，安装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调试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验收后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支付合同价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款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45%，剩余5%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的合同价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款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作为质量保证金。</w:t>
      </w:r>
    </w:p>
    <w:p>
      <w:pPr>
        <w:pStyle w:val="19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发票。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四、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满后无遗留问题时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质保期执行供应商承诺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9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auto"/>
          <w:sz w:val="28"/>
          <w:szCs w:val="28"/>
        </w:rPr>
        <w:t>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或者与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文件不符给甲方造成损失由乙方承担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还应赔偿包括但不限于诉讼费、律师费、差旅费等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rPr>
          <w:color w:val="auto"/>
        </w:rPr>
      </w:pPr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32C4086"/>
    <w:rsid w:val="034C4289"/>
    <w:rsid w:val="03CB018A"/>
    <w:rsid w:val="05EA1E28"/>
    <w:rsid w:val="06304C93"/>
    <w:rsid w:val="074107DA"/>
    <w:rsid w:val="075D629F"/>
    <w:rsid w:val="09F549CB"/>
    <w:rsid w:val="0A2C0351"/>
    <w:rsid w:val="0AFB6482"/>
    <w:rsid w:val="0B8B2BE2"/>
    <w:rsid w:val="0C0B5246"/>
    <w:rsid w:val="0EE816F7"/>
    <w:rsid w:val="11522A6B"/>
    <w:rsid w:val="11792F29"/>
    <w:rsid w:val="129C68AE"/>
    <w:rsid w:val="134E060F"/>
    <w:rsid w:val="140479A2"/>
    <w:rsid w:val="143376FC"/>
    <w:rsid w:val="15041AF5"/>
    <w:rsid w:val="15187886"/>
    <w:rsid w:val="15A20618"/>
    <w:rsid w:val="15EC5703"/>
    <w:rsid w:val="15FA2BC8"/>
    <w:rsid w:val="16F413C5"/>
    <w:rsid w:val="1712171C"/>
    <w:rsid w:val="18181DFF"/>
    <w:rsid w:val="18E257D3"/>
    <w:rsid w:val="196E01BD"/>
    <w:rsid w:val="1B035A0F"/>
    <w:rsid w:val="1BC96D71"/>
    <w:rsid w:val="1BF815E2"/>
    <w:rsid w:val="1D1E7A81"/>
    <w:rsid w:val="1E73531F"/>
    <w:rsid w:val="208D112C"/>
    <w:rsid w:val="211C7540"/>
    <w:rsid w:val="213905D1"/>
    <w:rsid w:val="213965BB"/>
    <w:rsid w:val="221F5897"/>
    <w:rsid w:val="237B088B"/>
    <w:rsid w:val="24352E37"/>
    <w:rsid w:val="24DB3C79"/>
    <w:rsid w:val="250D7AF6"/>
    <w:rsid w:val="25297823"/>
    <w:rsid w:val="25B23C0D"/>
    <w:rsid w:val="25C23E87"/>
    <w:rsid w:val="26EC76C0"/>
    <w:rsid w:val="27BC1BCF"/>
    <w:rsid w:val="27C6466B"/>
    <w:rsid w:val="284F090E"/>
    <w:rsid w:val="29F547B7"/>
    <w:rsid w:val="2A902A59"/>
    <w:rsid w:val="2BFB7259"/>
    <w:rsid w:val="2D1E73A5"/>
    <w:rsid w:val="2D672D4A"/>
    <w:rsid w:val="2DDF05C0"/>
    <w:rsid w:val="2DF50628"/>
    <w:rsid w:val="2FE13883"/>
    <w:rsid w:val="30517656"/>
    <w:rsid w:val="31EF7D4F"/>
    <w:rsid w:val="32430CC6"/>
    <w:rsid w:val="32546D64"/>
    <w:rsid w:val="329B10DE"/>
    <w:rsid w:val="333D3C9C"/>
    <w:rsid w:val="33FB0C02"/>
    <w:rsid w:val="34726833"/>
    <w:rsid w:val="34D31369"/>
    <w:rsid w:val="34F62354"/>
    <w:rsid w:val="356B2D42"/>
    <w:rsid w:val="36BC432E"/>
    <w:rsid w:val="37344B11"/>
    <w:rsid w:val="377F7231"/>
    <w:rsid w:val="380B04EE"/>
    <w:rsid w:val="38230A27"/>
    <w:rsid w:val="39B759DC"/>
    <w:rsid w:val="3A66589C"/>
    <w:rsid w:val="3AD40D45"/>
    <w:rsid w:val="3B9B5A04"/>
    <w:rsid w:val="3C9B3F0D"/>
    <w:rsid w:val="3D791D75"/>
    <w:rsid w:val="3D7D1865"/>
    <w:rsid w:val="3E180332"/>
    <w:rsid w:val="3F375E56"/>
    <w:rsid w:val="3FCC17BF"/>
    <w:rsid w:val="413E52A6"/>
    <w:rsid w:val="41CB1C80"/>
    <w:rsid w:val="424F5E90"/>
    <w:rsid w:val="43014CE6"/>
    <w:rsid w:val="433C187A"/>
    <w:rsid w:val="440D6A7E"/>
    <w:rsid w:val="44167592"/>
    <w:rsid w:val="441743AC"/>
    <w:rsid w:val="44A67AAA"/>
    <w:rsid w:val="44F06DBE"/>
    <w:rsid w:val="46152C06"/>
    <w:rsid w:val="493572AC"/>
    <w:rsid w:val="4A161BF9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FA455B"/>
    <w:rsid w:val="4F8E0BB0"/>
    <w:rsid w:val="4FAD0B0A"/>
    <w:rsid w:val="50046FE1"/>
    <w:rsid w:val="505F7064"/>
    <w:rsid w:val="50A56230"/>
    <w:rsid w:val="518752B0"/>
    <w:rsid w:val="52AB30AC"/>
    <w:rsid w:val="54077271"/>
    <w:rsid w:val="541D7131"/>
    <w:rsid w:val="55097B6F"/>
    <w:rsid w:val="5522395C"/>
    <w:rsid w:val="565521FB"/>
    <w:rsid w:val="58CD4FF7"/>
    <w:rsid w:val="5CE96177"/>
    <w:rsid w:val="5D2B7514"/>
    <w:rsid w:val="5D2D5AA6"/>
    <w:rsid w:val="5D457CC7"/>
    <w:rsid w:val="5EAE438E"/>
    <w:rsid w:val="5F300020"/>
    <w:rsid w:val="5FA171DD"/>
    <w:rsid w:val="61227757"/>
    <w:rsid w:val="614E520A"/>
    <w:rsid w:val="6171338B"/>
    <w:rsid w:val="627D7586"/>
    <w:rsid w:val="637569B7"/>
    <w:rsid w:val="64726B48"/>
    <w:rsid w:val="64C078DE"/>
    <w:rsid w:val="68FC6194"/>
    <w:rsid w:val="692E7D33"/>
    <w:rsid w:val="6A7A3035"/>
    <w:rsid w:val="6C80442B"/>
    <w:rsid w:val="6CDB39FC"/>
    <w:rsid w:val="6D47333A"/>
    <w:rsid w:val="6DFA0AFC"/>
    <w:rsid w:val="6EFF130B"/>
    <w:rsid w:val="6F5D25D6"/>
    <w:rsid w:val="71824EFF"/>
    <w:rsid w:val="71A321F2"/>
    <w:rsid w:val="7201084D"/>
    <w:rsid w:val="72A55860"/>
    <w:rsid w:val="72CB2403"/>
    <w:rsid w:val="73E73B48"/>
    <w:rsid w:val="74051691"/>
    <w:rsid w:val="75EE4089"/>
    <w:rsid w:val="76114D74"/>
    <w:rsid w:val="77E90049"/>
    <w:rsid w:val="77FF2280"/>
    <w:rsid w:val="79232244"/>
    <w:rsid w:val="79E104AA"/>
    <w:rsid w:val="7A2D2064"/>
    <w:rsid w:val="7B563EB1"/>
    <w:rsid w:val="7B78070C"/>
    <w:rsid w:val="7BC00DE2"/>
    <w:rsid w:val="7BDD99FA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2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2443</Words>
  <Characters>2681</Characters>
  <Lines>0</Lines>
  <Paragraphs>0</Paragraphs>
  <TotalTime>7</TotalTime>
  <ScaleCrop>false</ScaleCrop>
  <LinksUpToDate>false</LinksUpToDate>
  <CharactersWithSpaces>3039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2022-10-11T06:33:00Z</cp:lastPrinted>
  <dcterms:modified xsi:type="dcterms:W3CDTF">2023-03-28T10:25:56Z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C78851996BC7442E830C38C43CC4078D</vt:lpwstr>
  </property>
</Properties>
</file>