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04" w:firstLineChars="300"/>
        <w:jc w:val="center"/>
        <w:rPr>
          <w:rFonts w:ascii="宋体" w:hAnsi="宋体"/>
          <w:b/>
          <w:bCs/>
          <w:color w:val="auto"/>
          <w:sz w:val="30"/>
          <w:szCs w:val="30"/>
        </w:rPr>
      </w:pPr>
      <w:r>
        <w:rPr>
          <w:rFonts w:hint="eastAsia" w:ascii="宋体" w:hAnsi="宋体"/>
          <w:b/>
          <w:bCs/>
          <w:color w:val="auto"/>
          <w:sz w:val="30"/>
          <w:szCs w:val="30"/>
        </w:rPr>
        <w:t>安徽相王医疗健康股份有限公司西区早餐供应服务项目</w:t>
      </w:r>
    </w:p>
    <w:p>
      <w:pPr>
        <w:snapToGrid w:val="0"/>
        <w:spacing w:line="360" w:lineRule="auto"/>
        <w:ind w:firstLine="904" w:firstLineChars="300"/>
        <w:jc w:val="center"/>
        <w:rPr>
          <w:b/>
          <w:color w:val="auto"/>
          <w:kern w:val="0"/>
          <w:sz w:val="30"/>
          <w:szCs w:val="30"/>
        </w:rPr>
      </w:pPr>
      <w:r>
        <w:rPr>
          <w:rFonts w:hint="eastAsia" w:ascii="宋体" w:hAnsi="宋体"/>
          <w:b/>
          <w:bCs/>
          <w:color w:val="auto"/>
          <w:sz w:val="30"/>
          <w:szCs w:val="30"/>
        </w:rPr>
        <w:t>招标文件</w:t>
      </w:r>
    </w:p>
    <w:p>
      <w:pPr>
        <w:pStyle w:val="5"/>
        <w:tabs>
          <w:tab w:val="left" w:pos="420"/>
        </w:tabs>
        <w:adjustRightInd w:val="0"/>
        <w:snapToGrid w:val="0"/>
        <w:spacing w:beforeLines="50" w:afterLines="20" w:line="440" w:lineRule="exact"/>
        <w:jc w:val="center"/>
        <w:rPr>
          <w:rFonts w:ascii="宋体" w:hAnsi="宋体"/>
          <w:color w:val="auto"/>
          <w:sz w:val="28"/>
          <w:szCs w:val="28"/>
        </w:rPr>
      </w:pPr>
      <w:bookmarkStart w:id="0" w:name="_一、投标须知前附表"/>
      <w:bookmarkEnd w:id="0"/>
      <w:r>
        <w:rPr>
          <w:rFonts w:hint="eastAsia" w:ascii="宋体" w:hAnsi="宋体"/>
          <w:color w:val="auto"/>
          <w:sz w:val="28"/>
          <w:szCs w:val="28"/>
        </w:rPr>
        <w:t>一、投标须知前附表</w:t>
      </w:r>
    </w:p>
    <w:tbl>
      <w:tblPr>
        <w:tblStyle w:val="16"/>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723"/>
        <w:gridCol w:w="7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内    容</w:t>
            </w:r>
          </w:p>
        </w:tc>
        <w:tc>
          <w:tcPr>
            <w:tcW w:w="7393"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left"/>
              <w:rPr>
                <w:rFonts w:ascii="宋体" w:hAnsi="宋体"/>
                <w:color w:val="auto"/>
                <w:sz w:val="24"/>
              </w:rPr>
            </w:pPr>
            <w:r>
              <w:rPr>
                <w:rFonts w:hint="eastAsia" w:cs="宋体"/>
                <w:color w:val="auto"/>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项目名称</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rPr>
              <w:t>安徽相王医疗健康股份有限公司西区早餐供应服务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项目地点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安徽相王医疗健康股份有限公司西区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lang w:val="zh-CN"/>
              </w:rPr>
              <w:t>标段划分</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4</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合同期限</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5</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招标内容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rPr>
              <w:t>早餐供应服务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8</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计价方式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固定单价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9</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投标人资格</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left"/>
              <w:rPr>
                <w:rFonts w:cs="宋体"/>
                <w:color w:val="auto"/>
                <w:sz w:val="28"/>
                <w:szCs w:val="28"/>
              </w:rPr>
            </w:pPr>
            <w:r>
              <w:rPr>
                <w:rFonts w:hint="eastAsia" w:ascii="宋体" w:hAnsi="宋体" w:cs="宋体"/>
                <w:color w:val="auto"/>
                <w:sz w:val="28"/>
                <w:szCs w:val="28"/>
              </w:rPr>
              <w:t>1、投标人必须是在中华人民共和国境内注册，并取得餐饮经营、管理许可执照的法人或其他组织；2、从业人员必须具有健康证；3、近两年无食品安全事故或不良纪录。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10</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资格审查方式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投标有效期</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投标保证金额</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人民币</w:t>
            </w:r>
            <w:r>
              <w:rPr>
                <w:rFonts w:hint="eastAsia" w:ascii="Calibri" w:hAnsi="Calibri" w:eastAsia="宋体" w:cs="宋体"/>
                <w:color w:val="auto"/>
                <w:sz w:val="28"/>
                <w:szCs w:val="28"/>
                <w:lang w:val="en-US" w:eastAsia="zh-CN"/>
              </w:rPr>
              <w:t>10</w:t>
            </w:r>
            <w:r>
              <w:rPr>
                <w:rFonts w:hint="eastAsia" w:ascii="Calibri" w:hAnsi="Calibri" w:eastAsia="宋体" w:cs="宋体"/>
                <w:color w:val="auto"/>
                <w:sz w:val="28"/>
                <w:szCs w:val="28"/>
              </w:rPr>
              <w:t>000元，必须由投标人基本账户汇出。投标保证金必须在投标截止时间前足额到达指定账号。</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评标结束后，拟中标单位投标保证金由招标人留置，中标后转为履约保证金；其他单位的投标保证金</w:t>
            </w:r>
            <w:r>
              <w:rPr>
                <w:rFonts w:hint="eastAsia" w:ascii="Calibri" w:hAnsi="Calibri" w:eastAsia="宋体" w:cs="宋体"/>
                <w:color w:val="auto"/>
                <w:sz w:val="28"/>
                <w:szCs w:val="28"/>
                <w:lang w:eastAsia="zh-CN"/>
              </w:rPr>
              <w:t>按照招标人财务流程在次月</w:t>
            </w:r>
            <w:r>
              <w:rPr>
                <w:rFonts w:hint="eastAsia" w:ascii="Calibri" w:hAnsi="Calibri" w:eastAsia="宋体" w:cs="宋体"/>
                <w:color w:val="auto"/>
                <w:sz w:val="28"/>
                <w:szCs w:val="28"/>
                <w:lang w:val="en-US" w:eastAsia="zh-CN"/>
              </w:rPr>
              <w:t>15号后一周内</w:t>
            </w:r>
            <w:r>
              <w:rPr>
                <w:rFonts w:hint="eastAsia" w:ascii="Calibri" w:hAnsi="Calibri" w:eastAsia="宋体" w:cs="宋体"/>
                <w:color w:val="auto"/>
                <w:sz w:val="28"/>
                <w:szCs w:val="28"/>
              </w:rPr>
              <w:t>无息退还。投标保证金银行回执开标前交于投标人审核。</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rPr>
              <w:t>投标保证金请汇至：</w:t>
            </w:r>
          </w:p>
          <w:p>
            <w:pPr>
              <w:adjustRightInd w:val="0"/>
              <w:snapToGrid w:val="0"/>
              <w:spacing w:line="400" w:lineRule="exact"/>
              <w:jc w:val="left"/>
              <w:rPr>
                <w:rFonts w:ascii="Calibri" w:hAnsi="Calibri" w:eastAsia="宋体" w:cs="宋体"/>
                <w:color w:val="auto"/>
                <w:sz w:val="28"/>
                <w:szCs w:val="28"/>
                <w:u w:color="000000"/>
              </w:rPr>
            </w:pPr>
            <w:r>
              <w:rPr>
                <w:rFonts w:hint="eastAsia" w:ascii="Times New Roman" w:hAnsi="Times New Roman" w:eastAsia="宋体" w:cs="宋体"/>
                <w:color w:val="auto"/>
                <w:sz w:val="28"/>
                <w:szCs w:val="28"/>
                <w:u w:color="000000"/>
              </w:rPr>
              <w:t>名</w:t>
            </w:r>
            <w:r>
              <w:rPr>
                <w:rFonts w:hint="eastAsia" w:ascii="Calibri" w:hAnsi="Calibri" w:eastAsia="宋体" w:cs="宋体"/>
                <w:color w:val="auto"/>
                <w:sz w:val="28"/>
                <w:szCs w:val="28"/>
                <w:u w:color="000000"/>
              </w:rPr>
              <w:t>称：安徽相王医疗健康股份有限公司</w:t>
            </w:r>
          </w:p>
          <w:p>
            <w:pPr>
              <w:pStyle w:val="2"/>
              <w:spacing w:line="400" w:lineRule="exact"/>
              <w:ind w:left="0" w:firstLine="0"/>
              <w:rPr>
                <w:rFonts w:ascii="Calibri" w:hAnsi="Calibri" w:eastAsia="宋体" w:cs="宋体"/>
                <w:color w:val="auto"/>
                <w:sz w:val="28"/>
                <w:szCs w:val="28"/>
                <w:u w:color="000000"/>
              </w:rPr>
            </w:pPr>
            <w:r>
              <w:rPr>
                <w:rFonts w:hint="eastAsia" w:ascii="Calibri" w:hAnsi="Calibri" w:eastAsia="宋体" w:cs="宋体"/>
                <w:color w:val="auto"/>
                <w:sz w:val="28"/>
                <w:szCs w:val="28"/>
                <w:u w:color="000000"/>
              </w:rPr>
              <w:t>开户行：中国工商银行股份有限公司淮北人民东路支行</w:t>
            </w:r>
          </w:p>
          <w:p>
            <w:pPr>
              <w:adjustRightInd w:val="0"/>
              <w:snapToGrid w:val="0"/>
              <w:spacing w:line="400" w:lineRule="exact"/>
              <w:jc w:val="left"/>
              <w:rPr>
                <w:rFonts w:ascii="Calibri" w:hAnsi="Calibri" w:eastAsia="宋体" w:cs="宋体"/>
                <w:color w:val="auto"/>
                <w:sz w:val="28"/>
                <w:szCs w:val="28"/>
              </w:rPr>
            </w:pPr>
            <w:r>
              <w:rPr>
                <w:rFonts w:hint="eastAsia" w:ascii="Calibri" w:hAnsi="Calibri" w:eastAsia="宋体" w:cs="宋体"/>
                <w:color w:val="auto"/>
                <w:sz w:val="28"/>
                <w:szCs w:val="28"/>
                <w:u w:color="000000"/>
              </w:rPr>
              <w:t>账号：9558851305000004078</w:t>
            </w:r>
            <w:r>
              <w:rPr>
                <w:rFonts w:hint="eastAsia" w:ascii="Calibri" w:hAnsi="Calibri" w:eastAsia="宋体" w:cs="宋体"/>
                <w:color w:val="auto"/>
                <w:sz w:val="28"/>
                <w:szCs w:val="28"/>
              </w:rPr>
              <w:t xml:space="preserve">              </w:t>
            </w:r>
          </w:p>
          <w:p>
            <w:pPr>
              <w:pStyle w:val="9"/>
              <w:widowControl/>
              <w:snapToGrid w:val="0"/>
              <w:spacing w:line="400" w:lineRule="exact"/>
              <w:rPr>
                <w:rFonts w:cs="宋体"/>
                <w:color w:val="auto"/>
                <w:sz w:val="28"/>
                <w:szCs w:val="28"/>
              </w:rPr>
            </w:pPr>
            <w:r>
              <w:rPr>
                <w:rFonts w:hint="eastAsia" w:ascii="Calibri" w:hAnsi="Calibri" w:eastAsia="宋体" w:cs="宋体"/>
                <w:color w:val="auto"/>
                <w:sz w:val="28"/>
                <w:szCs w:val="28"/>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联合体投标</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color w:val="auto"/>
                <w:sz w:val="24"/>
                <w:u w:val="single"/>
              </w:rPr>
            </w:pPr>
            <w:r>
              <w:rPr>
                <w:rFonts w:hint="eastAsia" w:cs="宋体"/>
                <w:color w:val="auto"/>
                <w:sz w:val="28"/>
                <w:szCs w:val="28"/>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14</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踏勘现场</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color w:val="auto"/>
                <w:sz w:val="28"/>
                <w:szCs w:val="28"/>
              </w:rPr>
            </w:pPr>
            <w:r>
              <w:rPr>
                <w:rFonts w:hint="eastAsia" w:cs="宋体"/>
                <w:color w:val="auto"/>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16</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投标文件份数</w:t>
            </w:r>
          </w:p>
        </w:tc>
        <w:tc>
          <w:tcPr>
            <w:tcW w:w="7393" w:type="dxa"/>
            <w:tcBorders>
              <w:top w:val="single" w:color="auto" w:sz="4" w:space="0"/>
              <w:left w:val="single" w:color="auto" w:sz="4" w:space="0"/>
              <w:bottom w:val="single" w:color="auto" w:sz="4" w:space="0"/>
              <w:right w:val="single" w:color="auto" w:sz="4" w:space="0"/>
            </w:tcBorders>
            <w:vAlign w:val="center"/>
          </w:tcPr>
          <w:p>
            <w:pPr>
              <w:pStyle w:val="21"/>
              <w:adjustRightInd w:val="0"/>
              <w:snapToGrid w:val="0"/>
              <w:spacing w:line="400" w:lineRule="exact"/>
              <w:ind w:firstLine="0" w:firstLineChars="0"/>
              <w:jc w:val="left"/>
              <w:rPr>
                <w:rFonts w:hint="eastAsia" w:cs="宋体" w:eastAsiaTheme="minorEastAsia"/>
                <w:color w:val="auto"/>
                <w:sz w:val="28"/>
                <w:szCs w:val="28"/>
                <w:lang w:eastAsia="zh-CN"/>
              </w:rPr>
            </w:pPr>
            <w:r>
              <w:rPr>
                <w:rFonts w:hint="eastAsia" w:cs="宋体"/>
                <w:color w:val="auto"/>
                <w:sz w:val="28"/>
                <w:szCs w:val="28"/>
              </w:rPr>
              <w:t>正本一份，副本两份。</w:t>
            </w:r>
            <w:r>
              <w:rPr>
                <w:rFonts w:hint="eastAsia" w:cs="宋体"/>
                <w:color w:val="auto"/>
                <w:sz w:val="28"/>
                <w:szCs w:val="28"/>
                <w:lang w:eastAsia="zh-CN"/>
              </w:rPr>
              <w:t>提供电子版投标文件一份。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17</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投标文件递交方式及递交截止时间</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见招标公告。</w:t>
            </w:r>
          </w:p>
          <w:p>
            <w:pPr>
              <w:pStyle w:val="9"/>
              <w:widowControl/>
              <w:snapToGrid w:val="0"/>
              <w:spacing w:line="400" w:lineRule="exact"/>
              <w:rPr>
                <w:rFonts w:cs="宋体"/>
                <w:color w:val="auto"/>
                <w:sz w:val="28"/>
                <w:szCs w:val="28"/>
              </w:rPr>
            </w:pPr>
            <w:r>
              <w:rPr>
                <w:rFonts w:hint="eastAsia" w:cs="宋体"/>
                <w:color w:val="auto"/>
                <w:sz w:val="28"/>
                <w:szCs w:val="28"/>
              </w:rPr>
              <w:t>投标截止时间：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7</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14</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下午15：30</w:t>
            </w:r>
            <w:r>
              <w:rPr>
                <w:rFonts w:hint="eastAsia" w:ascii="宋体" w:hAnsi="宋体" w:eastAsia="宋体" w:cs="宋体"/>
                <w:color w:val="000000"/>
                <w:kern w:val="2"/>
                <w:sz w:val="28"/>
                <w:szCs w:val="28"/>
                <w:u w:val="none"/>
              </w:rPr>
              <w:t xml:space="preserve"> </w:t>
            </w:r>
            <w:r>
              <w:rPr>
                <w:rFonts w:hint="eastAsia" w:cs="宋体"/>
                <w:color w:val="auto"/>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18</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开标时间与地点</w:t>
            </w:r>
          </w:p>
        </w:tc>
        <w:tc>
          <w:tcPr>
            <w:tcW w:w="7393" w:type="dxa"/>
            <w:tcBorders>
              <w:top w:val="single" w:color="auto" w:sz="4" w:space="0"/>
              <w:left w:val="single" w:color="auto" w:sz="4" w:space="0"/>
              <w:bottom w:val="single" w:color="auto" w:sz="4" w:space="0"/>
              <w:right w:val="single" w:color="auto" w:sz="4" w:space="0"/>
            </w:tcBorders>
            <w:vAlign w:val="center"/>
          </w:tcPr>
          <w:p>
            <w:pPr>
              <w:pStyle w:val="9"/>
              <w:widowControl/>
              <w:snapToGrid w:val="0"/>
              <w:spacing w:line="400" w:lineRule="exact"/>
              <w:rPr>
                <w:rFonts w:cs="宋体"/>
                <w:color w:val="auto"/>
                <w:sz w:val="28"/>
                <w:szCs w:val="28"/>
              </w:rPr>
            </w:pPr>
            <w:r>
              <w:rPr>
                <w:rFonts w:hint="eastAsia" w:cs="宋体"/>
                <w:color w:val="auto"/>
                <w:sz w:val="28"/>
                <w:szCs w:val="28"/>
              </w:rPr>
              <w:t>开标时间：</w:t>
            </w:r>
            <w:r>
              <w:rPr>
                <w:rFonts w:hint="eastAsia" w:ascii="宋体" w:hAnsi="宋体" w:eastAsia="宋体" w:cs="宋体"/>
                <w:color w:val="000000"/>
                <w:kern w:val="2"/>
                <w:sz w:val="28"/>
                <w:szCs w:val="28"/>
                <w:u w:val="none"/>
              </w:rPr>
              <w:t>2022年</w:t>
            </w:r>
            <w:r>
              <w:rPr>
                <w:rFonts w:hint="eastAsia" w:ascii="宋体" w:hAnsi="宋体" w:eastAsia="宋体" w:cs="宋体"/>
                <w:color w:val="000000"/>
                <w:kern w:val="2"/>
                <w:sz w:val="28"/>
                <w:szCs w:val="28"/>
                <w:u w:val="none"/>
                <w:lang w:val="en-US" w:eastAsia="zh-CN"/>
              </w:rPr>
              <w:t>7</w:t>
            </w:r>
            <w:r>
              <w:rPr>
                <w:rFonts w:hint="eastAsia" w:ascii="宋体" w:hAnsi="宋体" w:eastAsia="宋体" w:cs="宋体"/>
                <w:color w:val="000000"/>
                <w:kern w:val="2"/>
                <w:sz w:val="28"/>
                <w:szCs w:val="28"/>
                <w:u w:val="none"/>
              </w:rPr>
              <w:t>月</w:t>
            </w:r>
            <w:r>
              <w:rPr>
                <w:rFonts w:hint="eastAsia" w:ascii="宋体" w:hAnsi="宋体" w:eastAsia="宋体" w:cs="宋体"/>
                <w:color w:val="000000"/>
                <w:kern w:val="2"/>
                <w:sz w:val="28"/>
                <w:szCs w:val="28"/>
                <w:u w:val="none"/>
                <w:lang w:val="en-US" w:eastAsia="zh-CN"/>
              </w:rPr>
              <w:t>14</w:t>
            </w:r>
            <w:r>
              <w:rPr>
                <w:rFonts w:hint="eastAsia" w:ascii="宋体" w:hAnsi="宋体" w:eastAsia="宋体" w:cs="宋体"/>
                <w:color w:val="000000"/>
                <w:kern w:val="2"/>
                <w:sz w:val="28"/>
                <w:szCs w:val="28"/>
                <w:u w:val="none"/>
              </w:rPr>
              <w:t>日</w:t>
            </w:r>
            <w:r>
              <w:rPr>
                <w:rFonts w:hint="eastAsia" w:ascii="宋体" w:hAnsi="宋体" w:eastAsia="宋体" w:cs="宋体"/>
                <w:color w:val="000000"/>
                <w:kern w:val="2"/>
                <w:sz w:val="28"/>
                <w:szCs w:val="28"/>
                <w:u w:val="none"/>
                <w:lang w:val="en-US" w:eastAsia="zh-CN"/>
              </w:rPr>
              <w:t>下午15：30</w:t>
            </w:r>
            <w:r>
              <w:rPr>
                <w:rFonts w:hint="eastAsia" w:ascii="宋体" w:hAnsi="宋体" w:eastAsia="宋体" w:cs="宋体"/>
                <w:color w:val="000000"/>
                <w:kern w:val="2"/>
                <w:sz w:val="28"/>
                <w:szCs w:val="28"/>
                <w:u w:val="none"/>
              </w:rPr>
              <w:t xml:space="preserve"> </w:t>
            </w:r>
            <w:r>
              <w:rPr>
                <w:rFonts w:hint="eastAsia" w:cs="宋体"/>
                <w:color w:val="auto"/>
                <w:sz w:val="28"/>
                <w:szCs w:val="28"/>
              </w:rPr>
              <w:t>(北京时间)</w:t>
            </w:r>
          </w:p>
          <w:p>
            <w:pPr>
              <w:pStyle w:val="9"/>
              <w:widowControl/>
              <w:snapToGrid w:val="0"/>
              <w:spacing w:line="400" w:lineRule="exact"/>
              <w:rPr>
                <w:rFonts w:cs="宋体"/>
                <w:color w:val="auto"/>
                <w:sz w:val="28"/>
                <w:szCs w:val="28"/>
              </w:rPr>
            </w:pPr>
            <w:r>
              <w:rPr>
                <w:rFonts w:hint="eastAsia" w:cs="宋体"/>
                <w:color w:val="auto"/>
                <w:sz w:val="28"/>
                <w:szCs w:val="28"/>
              </w:rPr>
              <w:t>开标地点：安徽相王医疗健康股份有限公司</w:t>
            </w:r>
            <w:r>
              <w:rPr>
                <w:rFonts w:hint="eastAsia" w:ascii="Calibri" w:hAnsi="Calibri" w:eastAsia="宋体" w:cs="宋体"/>
                <w:color w:val="auto"/>
                <w:sz w:val="28"/>
                <w:szCs w:val="28"/>
              </w:rPr>
              <w:t>七号楼二楼会议室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19</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中标服务费</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中标人须以现金缴纳</w:t>
            </w:r>
            <w:r>
              <w:rPr>
                <w:rFonts w:hint="eastAsia" w:cs="宋体"/>
                <w:color w:val="auto"/>
                <w:sz w:val="28"/>
                <w:szCs w:val="28"/>
                <w:lang w:val="en-US" w:eastAsia="zh-CN"/>
              </w:rPr>
              <w:t>2</w:t>
            </w:r>
            <w:bookmarkStart w:id="2" w:name="_GoBack"/>
            <w:bookmarkEnd w:id="2"/>
            <w:r>
              <w:rPr>
                <w:rFonts w:hint="eastAsia" w:cs="宋体"/>
                <w:color w:val="auto"/>
                <w:sz w:val="28"/>
                <w:szCs w:val="28"/>
              </w:rPr>
              <w:t>000元中标服务费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20</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评标办法</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color w:val="auto"/>
                <w:sz w:val="28"/>
                <w:szCs w:val="28"/>
              </w:rPr>
            </w:pPr>
            <w:r>
              <w:rPr>
                <w:rFonts w:hint="eastAsia" w:cs="宋体"/>
                <w:color w:val="auto"/>
                <w:sz w:val="28"/>
                <w:szCs w:val="28"/>
              </w:rPr>
              <w:t>综合评标法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5"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21</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color w:val="auto"/>
                <w:sz w:val="28"/>
                <w:szCs w:val="28"/>
                <w:lang w:eastAsia="zh-CN"/>
              </w:rPr>
            </w:pPr>
            <w:r>
              <w:rPr>
                <w:rFonts w:hint="eastAsia" w:cs="宋体"/>
                <w:color w:val="auto"/>
                <w:sz w:val="28"/>
                <w:szCs w:val="28"/>
              </w:rPr>
              <w:t>履约保证金</w:t>
            </w:r>
            <w:r>
              <w:rPr>
                <w:rFonts w:hint="eastAsia" w:cs="宋体"/>
                <w:color w:val="auto"/>
                <w:sz w:val="28"/>
                <w:szCs w:val="28"/>
                <w:lang w:eastAsia="zh-CN"/>
              </w:rPr>
              <w:t>与合同签订时间</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中标单位应于接到中标通知书后的7日内向招标人指定账户打入</w:t>
            </w:r>
            <w:r>
              <w:rPr>
                <w:rFonts w:hint="eastAsia" w:cs="宋体"/>
                <w:color w:val="auto"/>
                <w:sz w:val="28"/>
                <w:szCs w:val="28"/>
                <w:lang w:val="en-US" w:eastAsia="zh-CN"/>
              </w:rPr>
              <w:t>3.5</w:t>
            </w:r>
            <w:r>
              <w:rPr>
                <w:rFonts w:hint="eastAsia" w:cs="宋体"/>
                <w:color w:val="auto"/>
                <w:sz w:val="28"/>
                <w:szCs w:val="28"/>
              </w:rPr>
              <w:t>万元</w:t>
            </w:r>
            <w:r>
              <w:rPr>
                <w:rFonts w:hint="eastAsia" w:cs="宋体"/>
                <w:color w:val="auto"/>
                <w:sz w:val="28"/>
                <w:szCs w:val="28"/>
                <w:lang w:eastAsia="zh-CN"/>
              </w:rPr>
              <w:t>（含投标保证金转为履约保证金部分）</w:t>
            </w:r>
            <w:r>
              <w:rPr>
                <w:rFonts w:hint="eastAsia" w:cs="宋体"/>
                <w:color w:val="auto"/>
                <w:sz w:val="28"/>
                <w:szCs w:val="28"/>
              </w:rPr>
              <w:t>作为履约保证金，并在30日内签订合同</w:t>
            </w:r>
            <w:r>
              <w:rPr>
                <w:rFonts w:hint="eastAsia" w:cs="宋体"/>
                <w:color w:val="auto"/>
                <w:sz w:val="28"/>
                <w:szCs w:val="28"/>
                <w:lang w:eastAsia="zh-CN"/>
              </w:rPr>
              <w:t>与对应廉政合同</w:t>
            </w:r>
            <w:r>
              <w:rPr>
                <w:rFonts w:hint="eastAsia" w:cs="宋体"/>
                <w:color w:val="auto"/>
                <w:sz w:val="28"/>
                <w:szCs w:val="28"/>
              </w:rPr>
              <w:t>，在合同未签订前，招投标文件将构成约束双方的协议。若中标单位未在规定时间内缴纳履约保证金，并无正当理由的视为自动放弃中标资格。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22</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招标疑问提交时间和疑问答复时间</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color w:val="auto"/>
                <w:sz w:val="24"/>
              </w:rPr>
            </w:pPr>
            <w:r>
              <w:rPr>
                <w:rFonts w:hint="eastAsia" w:cs="宋体"/>
                <w:color w:val="auto"/>
                <w:sz w:val="28"/>
                <w:szCs w:val="28"/>
              </w:rPr>
              <w:t>任何要求澄清招标文件的投标人均应在2022年6月</w:t>
            </w:r>
            <w:r>
              <w:rPr>
                <w:rFonts w:hint="eastAsia" w:cs="宋体"/>
                <w:color w:val="auto"/>
                <w:sz w:val="28"/>
                <w:szCs w:val="28"/>
                <w:lang w:val="en-US" w:eastAsia="zh-CN"/>
              </w:rPr>
              <w:t>28</w:t>
            </w:r>
            <w:r>
              <w:rPr>
                <w:rFonts w:hint="eastAsia" w:cs="宋体"/>
                <w:color w:val="auto"/>
                <w:sz w:val="28"/>
                <w:szCs w:val="28"/>
              </w:rPr>
              <w:t xml:space="preserve">日上午12:00之前以不署名的电子邮件形式发送至安徽相王医疗健康股份有限公司办公室邮箱 </w:t>
            </w:r>
            <w:r>
              <w:rPr>
                <w:color w:val="auto"/>
              </w:rPr>
              <w:fldChar w:fldCharType="begin"/>
            </w:r>
            <w:r>
              <w:rPr>
                <w:color w:val="auto"/>
              </w:rPr>
              <w:instrText xml:space="preserve"> HYPERLINK "mailto:2295829959@QQ.com，招标单位在2021年" </w:instrText>
            </w:r>
            <w:r>
              <w:rPr>
                <w:color w:val="auto"/>
              </w:rPr>
              <w:fldChar w:fldCharType="separate"/>
            </w:r>
            <w:r>
              <w:rPr>
                <w:rStyle w:val="19"/>
                <w:rFonts w:hint="eastAsia" w:cs="宋体"/>
                <w:color w:val="auto"/>
                <w:sz w:val="28"/>
                <w:szCs w:val="28"/>
              </w:rPr>
              <w:t>xwjkzbcg@126.com，招标单位在2022年</w:t>
            </w:r>
            <w:r>
              <w:rPr>
                <w:rStyle w:val="19"/>
                <w:rFonts w:hint="eastAsia" w:cs="宋体"/>
                <w:color w:val="auto"/>
                <w:sz w:val="28"/>
                <w:szCs w:val="28"/>
              </w:rPr>
              <w:fldChar w:fldCharType="end"/>
            </w:r>
            <w:r>
              <w:rPr>
                <w:rFonts w:hint="eastAsia" w:cs="宋体"/>
                <w:color w:val="auto"/>
                <w:sz w:val="28"/>
                <w:szCs w:val="28"/>
              </w:rPr>
              <w:t>6月</w:t>
            </w:r>
            <w:r>
              <w:rPr>
                <w:rFonts w:hint="eastAsia" w:cs="宋体"/>
                <w:color w:val="auto"/>
                <w:sz w:val="28"/>
                <w:szCs w:val="28"/>
                <w:lang w:val="en-US" w:eastAsia="zh-CN"/>
              </w:rPr>
              <w:t>28</w:t>
            </w:r>
            <w:r>
              <w:rPr>
                <w:rFonts w:hint="eastAsia" w:cs="宋体"/>
                <w:color w:val="auto"/>
                <w:sz w:val="28"/>
                <w:szCs w:val="28"/>
              </w:rPr>
              <w:t>日下午5:00前在安徽皖北康复医院网站统一公告答疑。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23</w:t>
            </w:r>
          </w:p>
        </w:tc>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rPr>
            </w:pPr>
            <w:r>
              <w:rPr>
                <w:rFonts w:hint="eastAsia" w:cs="宋体"/>
                <w:color w:val="auto"/>
                <w:sz w:val="28"/>
                <w:szCs w:val="28"/>
              </w:rPr>
              <w:t>友情提醒</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color w:val="auto"/>
                <w:sz w:val="28"/>
                <w:szCs w:val="28"/>
              </w:rPr>
            </w:pPr>
            <w:r>
              <w:rPr>
                <w:rFonts w:hint="eastAsia" w:cs="宋体"/>
                <w:color w:val="auto"/>
                <w:sz w:val="28"/>
                <w:szCs w:val="28"/>
              </w:rPr>
              <w:t>投标人请戴口罩，扫安康码进入招标人单位和开标场所</w:t>
            </w:r>
          </w:p>
        </w:tc>
      </w:tr>
    </w:tbl>
    <w:p>
      <w:pPr>
        <w:rPr>
          <w:color w:val="auto"/>
        </w:rPr>
      </w:pPr>
    </w:p>
    <w:p>
      <w:pPr>
        <w:pStyle w:val="5"/>
        <w:adjustRightInd w:val="0"/>
        <w:snapToGrid w:val="0"/>
        <w:spacing w:beforeLines="20" w:afterLines="20" w:line="500" w:lineRule="exact"/>
        <w:jc w:val="center"/>
        <w:rPr>
          <w:rFonts w:ascii="宋体" w:hAnsi="宋体"/>
          <w:color w:val="auto"/>
          <w:sz w:val="28"/>
          <w:szCs w:val="28"/>
        </w:rPr>
      </w:pPr>
      <w:r>
        <w:rPr>
          <w:rFonts w:hint="eastAsia" w:ascii="宋体" w:hAnsi="宋体"/>
          <w:color w:val="auto"/>
          <w:sz w:val="28"/>
          <w:szCs w:val="28"/>
        </w:rPr>
        <w:t>二、投标须知</w:t>
      </w:r>
    </w:p>
    <w:p>
      <w:pPr>
        <w:pStyle w:val="7"/>
        <w:adjustRightInd w:val="0"/>
        <w:snapToGrid w:val="0"/>
        <w:spacing w:beforeLines="100" w:afterLines="100" w:line="440" w:lineRule="exact"/>
        <w:ind w:firstLine="3654" w:firstLineChars="1300"/>
        <w:rPr>
          <w:rFonts w:ascii="宋体" w:hAnsi="宋体" w:eastAsia="宋体" w:cs="宋体"/>
          <w:color w:val="auto"/>
        </w:rPr>
      </w:pPr>
      <w:r>
        <w:rPr>
          <w:rFonts w:hint="eastAsia" w:ascii="宋体" w:hAnsi="宋体" w:eastAsia="宋体" w:cs="宋体"/>
          <w:color w:val="auto"/>
        </w:rPr>
        <w:t>（一）总  则</w:t>
      </w:r>
    </w:p>
    <w:p>
      <w:pPr>
        <w:snapToGrid w:val="0"/>
        <w:spacing w:line="360" w:lineRule="auto"/>
        <w:jc w:val="left"/>
        <w:rPr>
          <w:rFonts w:ascii="宋体" w:hAnsi="宋体" w:eastAsia="宋体" w:cs="宋体"/>
          <w:b/>
          <w:bCs/>
          <w:color w:val="auto"/>
          <w:sz w:val="28"/>
          <w:szCs w:val="28"/>
        </w:rPr>
      </w:pPr>
      <w:r>
        <w:rPr>
          <w:rFonts w:hint="eastAsia" w:ascii="宋体" w:hAnsi="宋体" w:eastAsia="宋体" w:cs="宋体"/>
          <w:b/>
          <w:bCs/>
          <w:color w:val="auto"/>
          <w:sz w:val="28"/>
          <w:szCs w:val="28"/>
        </w:rPr>
        <w:t>1、概况</w:t>
      </w:r>
    </w:p>
    <w:p>
      <w:pPr>
        <w:spacing w:line="440" w:lineRule="exact"/>
        <w:jc w:val="left"/>
        <w:rPr>
          <w:rFonts w:ascii="宋体" w:hAnsi="宋体" w:cs="宋体"/>
          <w:color w:val="auto"/>
          <w:sz w:val="28"/>
          <w:szCs w:val="28"/>
        </w:rPr>
      </w:pPr>
      <w:r>
        <w:rPr>
          <w:rFonts w:hint="eastAsia" w:ascii="宋体" w:hAnsi="宋体" w:cs="宋体"/>
          <w:color w:val="auto"/>
          <w:sz w:val="28"/>
          <w:szCs w:val="28"/>
        </w:rPr>
        <w:t>安徽相王医疗健康股份有限公司西区位于淮北市相山区孟山路1号三楼有体检人员早餐室一处，其中就餐区面积约52㎡，可提供约50人就餐</w:t>
      </w:r>
      <w:r>
        <w:rPr>
          <w:rFonts w:hint="eastAsia" w:ascii="宋体" w:hAnsi="宋体" w:cs="宋体"/>
          <w:color w:val="auto"/>
          <w:sz w:val="28"/>
          <w:szCs w:val="28"/>
          <w:lang w:eastAsia="zh-CN"/>
        </w:rPr>
        <w:t>，按照</w:t>
      </w:r>
      <w:r>
        <w:rPr>
          <w:rFonts w:hint="eastAsia" w:ascii="宋体" w:hAnsi="宋体" w:cs="宋体"/>
          <w:color w:val="auto"/>
          <w:sz w:val="28"/>
          <w:szCs w:val="28"/>
        </w:rPr>
        <w:t>安徽相王医疗健康股份有限公司西区作息时间为体检人员提供早餐，年就餐3.5万人次。</w:t>
      </w:r>
    </w:p>
    <w:p>
      <w:pPr>
        <w:numPr>
          <w:ilvl w:val="0"/>
          <w:numId w:val="1"/>
        </w:numPr>
        <w:spacing w:line="440" w:lineRule="exact"/>
        <w:jc w:val="left"/>
        <w:rPr>
          <w:rFonts w:ascii="宋体" w:hAnsi="宋体" w:eastAsia="宋体" w:cs="宋体"/>
          <w:b/>
          <w:bCs/>
          <w:color w:val="auto"/>
          <w:sz w:val="28"/>
          <w:szCs w:val="28"/>
        </w:rPr>
      </w:pPr>
      <w:r>
        <w:rPr>
          <w:rFonts w:hint="eastAsia" w:ascii="宋体" w:hAnsi="宋体" w:eastAsia="宋体" w:cs="宋体"/>
          <w:b/>
          <w:bCs/>
          <w:color w:val="auto"/>
          <w:sz w:val="28"/>
          <w:szCs w:val="28"/>
        </w:rPr>
        <w:t>采购清单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841"/>
        <w:gridCol w:w="1691"/>
        <w:gridCol w:w="1977"/>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2"/>
              <w:ind w:left="0" w:firstLine="0"/>
              <w:jc w:val="center"/>
              <w:rPr>
                <w:color w:val="auto"/>
                <w:sz w:val="28"/>
                <w:szCs w:val="28"/>
              </w:rPr>
            </w:pPr>
            <w:r>
              <w:rPr>
                <w:rFonts w:hint="eastAsia"/>
                <w:color w:val="auto"/>
                <w:sz w:val="28"/>
                <w:szCs w:val="28"/>
              </w:rPr>
              <w:t>序号</w:t>
            </w:r>
          </w:p>
        </w:tc>
        <w:tc>
          <w:tcPr>
            <w:tcW w:w="1841" w:type="dxa"/>
          </w:tcPr>
          <w:p>
            <w:pPr>
              <w:pStyle w:val="2"/>
              <w:ind w:left="0" w:firstLine="0"/>
              <w:jc w:val="center"/>
              <w:rPr>
                <w:color w:val="auto"/>
                <w:sz w:val="28"/>
                <w:szCs w:val="28"/>
              </w:rPr>
            </w:pPr>
            <w:r>
              <w:rPr>
                <w:rFonts w:hint="eastAsia"/>
                <w:color w:val="auto"/>
                <w:sz w:val="28"/>
                <w:szCs w:val="28"/>
              </w:rPr>
              <w:t>数量（万）</w:t>
            </w:r>
          </w:p>
        </w:tc>
        <w:tc>
          <w:tcPr>
            <w:tcW w:w="1691" w:type="dxa"/>
          </w:tcPr>
          <w:p>
            <w:pPr>
              <w:pStyle w:val="2"/>
              <w:ind w:left="0" w:firstLine="0"/>
              <w:jc w:val="center"/>
              <w:rPr>
                <w:color w:val="auto"/>
                <w:sz w:val="28"/>
                <w:szCs w:val="28"/>
              </w:rPr>
            </w:pPr>
            <w:r>
              <w:rPr>
                <w:rFonts w:hint="eastAsia"/>
                <w:color w:val="auto"/>
                <w:sz w:val="28"/>
                <w:szCs w:val="28"/>
              </w:rPr>
              <w:t>单位</w:t>
            </w:r>
          </w:p>
        </w:tc>
        <w:tc>
          <w:tcPr>
            <w:tcW w:w="1977" w:type="dxa"/>
          </w:tcPr>
          <w:p>
            <w:pPr>
              <w:pStyle w:val="2"/>
              <w:ind w:left="0" w:firstLine="0"/>
              <w:jc w:val="center"/>
              <w:rPr>
                <w:color w:val="auto"/>
                <w:sz w:val="28"/>
                <w:szCs w:val="28"/>
              </w:rPr>
            </w:pPr>
            <w:r>
              <w:rPr>
                <w:rFonts w:hint="eastAsia"/>
                <w:color w:val="auto"/>
                <w:sz w:val="28"/>
                <w:szCs w:val="28"/>
              </w:rPr>
              <w:t>控制单价（元）</w:t>
            </w:r>
          </w:p>
        </w:tc>
        <w:tc>
          <w:tcPr>
            <w:tcW w:w="2256" w:type="dxa"/>
          </w:tcPr>
          <w:p>
            <w:pPr>
              <w:pStyle w:val="2"/>
              <w:ind w:left="0" w:firstLine="0"/>
              <w:jc w:val="center"/>
              <w:rPr>
                <w:color w:val="auto"/>
                <w:sz w:val="28"/>
                <w:szCs w:val="28"/>
              </w:rPr>
            </w:pPr>
            <w:r>
              <w:rPr>
                <w:rFonts w:hint="eastAsia"/>
                <w:color w:val="auto"/>
                <w:sz w:val="28"/>
                <w:szCs w:val="28"/>
              </w:rPr>
              <w:t>控制合价（元）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2"/>
              <w:ind w:left="0" w:firstLine="0"/>
              <w:jc w:val="center"/>
              <w:rPr>
                <w:color w:val="auto"/>
                <w:sz w:val="28"/>
                <w:szCs w:val="28"/>
              </w:rPr>
            </w:pPr>
            <w:r>
              <w:rPr>
                <w:rFonts w:hint="eastAsia"/>
                <w:color w:val="auto"/>
                <w:sz w:val="28"/>
                <w:szCs w:val="28"/>
              </w:rPr>
              <w:t>1</w:t>
            </w:r>
          </w:p>
        </w:tc>
        <w:tc>
          <w:tcPr>
            <w:tcW w:w="1841" w:type="dxa"/>
          </w:tcPr>
          <w:p>
            <w:pPr>
              <w:pStyle w:val="2"/>
              <w:ind w:left="0" w:firstLine="0"/>
              <w:jc w:val="center"/>
              <w:rPr>
                <w:color w:val="auto"/>
                <w:sz w:val="28"/>
                <w:szCs w:val="28"/>
              </w:rPr>
            </w:pPr>
            <w:r>
              <w:rPr>
                <w:rFonts w:hint="eastAsia"/>
                <w:color w:val="auto"/>
                <w:sz w:val="28"/>
                <w:szCs w:val="28"/>
              </w:rPr>
              <w:t>3.5</w:t>
            </w:r>
          </w:p>
        </w:tc>
        <w:tc>
          <w:tcPr>
            <w:tcW w:w="1691" w:type="dxa"/>
          </w:tcPr>
          <w:p>
            <w:pPr>
              <w:pStyle w:val="2"/>
              <w:ind w:left="0" w:firstLine="0"/>
              <w:jc w:val="center"/>
              <w:rPr>
                <w:color w:val="auto"/>
                <w:sz w:val="28"/>
                <w:szCs w:val="28"/>
              </w:rPr>
            </w:pPr>
            <w:r>
              <w:rPr>
                <w:rFonts w:hint="eastAsia"/>
                <w:color w:val="auto"/>
                <w:sz w:val="28"/>
                <w:szCs w:val="28"/>
              </w:rPr>
              <w:t>人次</w:t>
            </w:r>
          </w:p>
        </w:tc>
        <w:tc>
          <w:tcPr>
            <w:tcW w:w="1977" w:type="dxa"/>
          </w:tcPr>
          <w:p>
            <w:pPr>
              <w:pStyle w:val="2"/>
              <w:ind w:left="0" w:firstLine="0"/>
              <w:jc w:val="center"/>
              <w:rPr>
                <w:color w:val="auto"/>
                <w:sz w:val="28"/>
                <w:szCs w:val="28"/>
              </w:rPr>
            </w:pPr>
            <w:r>
              <w:rPr>
                <w:rFonts w:hint="eastAsia"/>
                <w:color w:val="auto"/>
                <w:sz w:val="28"/>
                <w:szCs w:val="28"/>
              </w:rPr>
              <w:t>10</w:t>
            </w:r>
          </w:p>
        </w:tc>
        <w:tc>
          <w:tcPr>
            <w:tcW w:w="2256" w:type="dxa"/>
          </w:tcPr>
          <w:p>
            <w:pPr>
              <w:pStyle w:val="2"/>
              <w:ind w:left="0" w:firstLine="0"/>
              <w:jc w:val="center"/>
              <w:rPr>
                <w:color w:val="auto"/>
                <w:sz w:val="28"/>
                <w:szCs w:val="28"/>
              </w:rPr>
            </w:pPr>
            <w:r>
              <w:rPr>
                <w:rFonts w:hint="eastAsia"/>
                <w:color w:val="auto"/>
                <w:sz w:val="28"/>
                <w:szCs w:val="28"/>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2"/>
              <w:ind w:left="0" w:firstLine="0"/>
              <w:jc w:val="center"/>
              <w:rPr>
                <w:rFonts w:hint="eastAsia"/>
                <w:color w:val="auto"/>
                <w:sz w:val="28"/>
                <w:szCs w:val="28"/>
              </w:rPr>
            </w:pPr>
          </w:p>
        </w:tc>
        <w:tc>
          <w:tcPr>
            <w:tcW w:w="1841" w:type="dxa"/>
          </w:tcPr>
          <w:p>
            <w:pPr>
              <w:pStyle w:val="2"/>
              <w:ind w:left="0" w:firstLine="0"/>
              <w:jc w:val="center"/>
              <w:rPr>
                <w:rFonts w:hint="eastAsia"/>
                <w:color w:val="auto"/>
                <w:sz w:val="28"/>
                <w:szCs w:val="28"/>
              </w:rPr>
            </w:pPr>
          </w:p>
        </w:tc>
        <w:tc>
          <w:tcPr>
            <w:tcW w:w="1691" w:type="dxa"/>
          </w:tcPr>
          <w:p>
            <w:pPr>
              <w:pStyle w:val="2"/>
              <w:ind w:left="0" w:firstLine="0"/>
              <w:jc w:val="center"/>
              <w:rPr>
                <w:rFonts w:hint="eastAsia"/>
                <w:color w:val="auto"/>
                <w:sz w:val="28"/>
                <w:szCs w:val="28"/>
              </w:rPr>
            </w:pPr>
          </w:p>
        </w:tc>
        <w:tc>
          <w:tcPr>
            <w:tcW w:w="1977" w:type="dxa"/>
          </w:tcPr>
          <w:p>
            <w:pPr>
              <w:pStyle w:val="2"/>
              <w:ind w:left="0" w:firstLine="0"/>
              <w:jc w:val="center"/>
              <w:rPr>
                <w:rFonts w:hint="eastAsia"/>
                <w:color w:val="auto"/>
                <w:sz w:val="28"/>
                <w:szCs w:val="28"/>
              </w:rPr>
            </w:pPr>
          </w:p>
        </w:tc>
        <w:tc>
          <w:tcPr>
            <w:tcW w:w="2256" w:type="dxa"/>
          </w:tcPr>
          <w:p>
            <w:pPr>
              <w:pStyle w:val="2"/>
              <w:ind w:left="0" w:firstLine="0"/>
              <w:jc w:val="center"/>
              <w:rPr>
                <w:rFonts w:hint="eastAsia"/>
                <w:color w:val="auto"/>
                <w:sz w:val="28"/>
                <w:szCs w:val="28"/>
              </w:rPr>
            </w:pPr>
          </w:p>
        </w:tc>
      </w:tr>
    </w:tbl>
    <w:p>
      <w:pPr>
        <w:pStyle w:val="2"/>
        <w:ind w:left="0" w:firstLine="0"/>
        <w:rPr>
          <w:rFonts w:hint="eastAsia" w:ascii="宋体" w:hAnsi="宋体" w:cs="宋体" w:eastAsiaTheme="minorEastAsia"/>
          <w:b/>
          <w:bCs/>
          <w:color w:val="auto"/>
          <w:kern w:val="2"/>
          <w:sz w:val="28"/>
          <w:szCs w:val="28"/>
          <w:lang w:val="en-US" w:eastAsia="zh-CN" w:bidi="ar-SA"/>
        </w:rPr>
      </w:pPr>
      <w:r>
        <w:rPr>
          <w:rFonts w:hint="eastAsia" w:ascii="宋体" w:hAnsi="宋体" w:cs="宋体" w:eastAsiaTheme="minorEastAsia"/>
          <w:b/>
          <w:bCs/>
          <w:color w:val="auto"/>
          <w:kern w:val="2"/>
          <w:sz w:val="28"/>
          <w:szCs w:val="28"/>
          <w:lang w:val="en-US" w:eastAsia="zh-CN" w:bidi="ar-SA"/>
        </w:rPr>
        <w:t>注：请投标人根据招标选定菜品表要求进行报价，选定菜品表（见附件七）为单人次套餐要求。</w:t>
      </w:r>
    </w:p>
    <w:p>
      <w:pPr>
        <w:spacing w:line="440" w:lineRule="exact"/>
        <w:jc w:val="left"/>
        <w:rPr>
          <w:b/>
          <w:bCs/>
          <w:color w:val="auto"/>
          <w:sz w:val="28"/>
          <w:szCs w:val="28"/>
        </w:rPr>
      </w:pPr>
      <w:r>
        <w:rPr>
          <w:rFonts w:hint="eastAsia"/>
          <w:b/>
          <w:bCs/>
          <w:color w:val="auto"/>
          <w:sz w:val="28"/>
          <w:szCs w:val="28"/>
        </w:rPr>
        <w:t>3、投标人资格</w:t>
      </w:r>
    </w:p>
    <w:p>
      <w:pPr>
        <w:snapToGrid w:val="0"/>
        <w:spacing w:line="440" w:lineRule="exact"/>
        <w:jc w:val="left"/>
        <w:rPr>
          <w:rFonts w:ascii="宋体" w:hAnsi="宋体" w:cs="宋体"/>
          <w:color w:val="auto"/>
          <w:sz w:val="28"/>
          <w:szCs w:val="28"/>
        </w:rPr>
      </w:pPr>
      <w:r>
        <w:rPr>
          <w:rFonts w:hint="eastAsia" w:ascii="宋体" w:hAnsi="宋体" w:cs="宋体"/>
          <w:color w:val="auto"/>
          <w:sz w:val="28"/>
          <w:szCs w:val="28"/>
        </w:rPr>
        <w:t>3.1投标人必须是在中华人民共和国境内注册，并取得餐饮经营、管理许可执照的法人或其他组织。</w:t>
      </w:r>
    </w:p>
    <w:p>
      <w:pPr>
        <w:snapToGrid w:val="0"/>
        <w:spacing w:line="440" w:lineRule="exact"/>
        <w:jc w:val="left"/>
        <w:rPr>
          <w:rFonts w:ascii="宋体" w:hAnsi="宋体" w:cs="宋体"/>
          <w:color w:val="auto"/>
          <w:sz w:val="28"/>
          <w:szCs w:val="28"/>
        </w:rPr>
      </w:pPr>
      <w:r>
        <w:rPr>
          <w:rFonts w:hint="eastAsia" w:ascii="宋体" w:hAnsi="宋体" w:cs="宋体"/>
          <w:color w:val="auto"/>
          <w:sz w:val="28"/>
          <w:szCs w:val="28"/>
        </w:rPr>
        <w:t>3.2从业人员必须具有健康证。</w:t>
      </w:r>
    </w:p>
    <w:p>
      <w:pPr>
        <w:snapToGrid w:val="0"/>
        <w:spacing w:line="440" w:lineRule="exact"/>
        <w:jc w:val="left"/>
        <w:rPr>
          <w:rFonts w:ascii="华文仿宋" w:hAnsi="华文仿宋" w:cs="宋体"/>
          <w:b/>
          <w:bCs/>
          <w:color w:val="auto"/>
          <w:sz w:val="28"/>
          <w:szCs w:val="28"/>
        </w:rPr>
      </w:pPr>
      <w:r>
        <w:rPr>
          <w:rFonts w:hint="eastAsia" w:ascii="宋体" w:hAnsi="宋体" w:cs="宋体"/>
          <w:color w:val="auto"/>
          <w:sz w:val="28"/>
          <w:szCs w:val="28"/>
        </w:rPr>
        <w:t>3.3近两年无食品安全事故或不良纪录。</w:t>
      </w:r>
    </w:p>
    <w:p>
      <w:pPr>
        <w:snapToGrid w:val="0"/>
        <w:spacing w:line="360" w:lineRule="auto"/>
        <w:jc w:val="left"/>
        <w:rPr>
          <w:rFonts w:ascii="华文仿宋" w:hAnsi="华文仿宋" w:cs="宋体"/>
          <w:b/>
          <w:bCs/>
          <w:color w:val="auto"/>
          <w:sz w:val="28"/>
          <w:szCs w:val="28"/>
        </w:rPr>
      </w:pPr>
      <w:r>
        <w:rPr>
          <w:rFonts w:hint="eastAsia" w:ascii="华文仿宋" w:hAnsi="华文仿宋" w:cs="宋体"/>
          <w:b/>
          <w:bCs/>
          <w:color w:val="auto"/>
          <w:sz w:val="28"/>
          <w:szCs w:val="28"/>
        </w:rPr>
        <w:t>4、投标费用</w:t>
      </w:r>
    </w:p>
    <w:p>
      <w:p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投标人应承担其编制投标文件与递交投标文件等投标过程中所涉及的一切费用，不论投标结果如何，招标人将不予承担。</w:t>
      </w:r>
    </w:p>
    <w:p>
      <w:pPr>
        <w:snapToGrid w:val="0"/>
        <w:spacing w:line="360" w:lineRule="auto"/>
        <w:jc w:val="left"/>
        <w:rPr>
          <w:rFonts w:ascii="华文仿宋" w:hAnsi="华文仿宋" w:cs="宋体"/>
          <w:b/>
          <w:bCs/>
          <w:color w:val="auto"/>
          <w:sz w:val="28"/>
          <w:szCs w:val="28"/>
        </w:rPr>
      </w:pPr>
      <w:r>
        <w:rPr>
          <w:rFonts w:hint="eastAsia" w:ascii="华文仿宋" w:hAnsi="华文仿宋" w:cs="宋体"/>
          <w:b/>
          <w:bCs/>
          <w:color w:val="auto"/>
          <w:sz w:val="28"/>
          <w:szCs w:val="28"/>
        </w:rPr>
        <w:t>5、下列情况之一者为废标：</w:t>
      </w:r>
    </w:p>
    <w:p>
      <w:pPr>
        <w:snapToGrid w:val="0"/>
        <w:spacing w:line="360" w:lineRule="auto"/>
        <w:jc w:val="left"/>
        <w:rPr>
          <w:rFonts w:ascii="华文仿宋" w:hAnsi="华文仿宋" w:cs="宋体"/>
          <w:bCs/>
          <w:color w:val="auto"/>
          <w:sz w:val="28"/>
          <w:szCs w:val="28"/>
        </w:rPr>
      </w:pPr>
      <w:r>
        <w:rPr>
          <w:rFonts w:hint="eastAsia" w:ascii="华文仿宋" w:hAnsi="华文仿宋" w:cs="宋体"/>
          <w:bCs/>
          <w:color w:val="auto"/>
          <w:sz w:val="28"/>
          <w:szCs w:val="28"/>
        </w:rPr>
        <w:t>5.1没有按照招标文件要求提交投标保证金的；</w:t>
      </w:r>
    </w:p>
    <w:p>
      <w:pPr>
        <w:snapToGrid w:val="0"/>
        <w:spacing w:line="360" w:lineRule="auto"/>
        <w:jc w:val="left"/>
        <w:rPr>
          <w:rFonts w:ascii="华文仿宋" w:hAnsi="华文仿宋" w:cs="宋体"/>
          <w:bCs/>
          <w:color w:val="auto"/>
          <w:sz w:val="28"/>
          <w:szCs w:val="28"/>
        </w:rPr>
      </w:pPr>
      <w:r>
        <w:rPr>
          <w:rFonts w:hint="eastAsia" w:ascii="华文仿宋" w:hAnsi="华文仿宋" w:cs="宋体"/>
          <w:bCs/>
          <w:color w:val="auto"/>
          <w:sz w:val="28"/>
          <w:szCs w:val="28"/>
        </w:rPr>
        <w:t>5.2投标人不符合国家或者招标文件规定的资格条件的；</w:t>
      </w:r>
    </w:p>
    <w:p>
      <w:pPr>
        <w:snapToGrid w:val="0"/>
        <w:spacing w:line="360" w:lineRule="auto"/>
        <w:jc w:val="left"/>
        <w:rPr>
          <w:rFonts w:ascii="华文仿宋" w:hAnsi="华文仿宋" w:cs="宋体"/>
          <w:bCs/>
          <w:color w:val="auto"/>
          <w:sz w:val="28"/>
          <w:szCs w:val="28"/>
        </w:rPr>
      </w:pPr>
      <w:r>
        <w:rPr>
          <w:rFonts w:hint="eastAsia" w:ascii="华文仿宋" w:hAnsi="华文仿宋" w:cs="宋体"/>
          <w:bCs/>
          <w:color w:val="auto"/>
          <w:sz w:val="28"/>
          <w:szCs w:val="28"/>
        </w:rPr>
        <w:t>5.3投标人的投标报价多于一个，且未指定以哪个为准；</w:t>
      </w:r>
    </w:p>
    <w:p>
      <w:pPr>
        <w:snapToGrid w:val="0"/>
        <w:spacing w:line="360" w:lineRule="auto"/>
        <w:jc w:val="left"/>
        <w:rPr>
          <w:rFonts w:ascii="华文仿宋" w:hAnsi="华文仿宋" w:cs="宋体"/>
          <w:bCs/>
          <w:color w:val="auto"/>
          <w:sz w:val="28"/>
          <w:szCs w:val="28"/>
        </w:rPr>
      </w:pPr>
      <w:r>
        <w:rPr>
          <w:rFonts w:hint="eastAsia" w:ascii="华文仿宋" w:hAnsi="华文仿宋" w:cs="宋体"/>
          <w:bCs/>
          <w:color w:val="auto"/>
          <w:sz w:val="28"/>
          <w:szCs w:val="28"/>
        </w:rPr>
        <w:t>5.4投标文件未盖公章及法定代表人或委托代理人印章（或签名）；</w:t>
      </w:r>
    </w:p>
    <w:p>
      <w:pPr>
        <w:snapToGrid w:val="0"/>
        <w:spacing w:line="360" w:lineRule="auto"/>
        <w:jc w:val="left"/>
        <w:rPr>
          <w:rFonts w:ascii="华文仿宋" w:hAnsi="华文仿宋" w:cs="宋体"/>
          <w:bCs/>
          <w:color w:val="auto"/>
          <w:sz w:val="28"/>
          <w:szCs w:val="28"/>
        </w:rPr>
      </w:pPr>
      <w:r>
        <w:rPr>
          <w:rFonts w:hint="eastAsia" w:ascii="华文仿宋" w:hAnsi="华文仿宋" w:cs="宋体"/>
          <w:bCs/>
          <w:color w:val="auto"/>
          <w:sz w:val="28"/>
          <w:szCs w:val="28"/>
        </w:rPr>
        <w:t>5.5投标文件未按招标文件规定的格式和要求编制；</w:t>
      </w:r>
    </w:p>
    <w:p>
      <w:pPr>
        <w:snapToGrid w:val="0"/>
        <w:spacing w:line="360" w:lineRule="auto"/>
        <w:jc w:val="left"/>
        <w:rPr>
          <w:rFonts w:ascii="华文仿宋" w:hAnsi="华文仿宋" w:cs="宋体"/>
          <w:bCs/>
          <w:color w:val="auto"/>
          <w:sz w:val="28"/>
          <w:szCs w:val="28"/>
        </w:rPr>
      </w:pPr>
      <w:r>
        <w:rPr>
          <w:rFonts w:hint="eastAsia" w:ascii="华文仿宋" w:hAnsi="华文仿宋" w:cs="宋体"/>
          <w:bCs/>
          <w:color w:val="auto"/>
          <w:sz w:val="28"/>
          <w:szCs w:val="28"/>
        </w:rPr>
        <w:t>5.6没有对招标文件提出的要求和条件作出实质性响应的；</w:t>
      </w:r>
    </w:p>
    <w:p>
      <w:pPr>
        <w:snapToGrid w:val="0"/>
        <w:spacing w:line="360" w:lineRule="auto"/>
        <w:jc w:val="left"/>
        <w:rPr>
          <w:rFonts w:ascii="华文仿宋" w:hAnsi="华文仿宋" w:cs="宋体"/>
          <w:bCs/>
          <w:color w:val="auto"/>
          <w:sz w:val="28"/>
          <w:szCs w:val="28"/>
        </w:rPr>
      </w:pPr>
      <w:r>
        <w:rPr>
          <w:rFonts w:hint="eastAsia" w:ascii="华文仿宋" w:hAnsi="华文仿宋" w:cs="宋体"/>
          <w:bCs/>
          <w:color w:val="auto"/>
          <w:sz w:val="28"/>
          <w:szCs w:val="28"/>
        </w:rPr>
        <w:t>5.7串通投标、以行贿手段谋取中标、以他人名义或者其他弄虚作假方式投标的；</w:t>
      </w:r>
    </w:p>
    <w:p>
      <w:pPr>
        <w:snapToGrid w:val="0"/>
        <w:spacing w:line="360" w:lineRule="auto"/>
        <w:jc w:val="left"/>
        <w:rPr>
          <w:rFonts w:hint="eastAsia" w:ascii="华文仿宋" w:hAnsi="华文仿宋" w:cs="宋体" w:eastAsiaTheme="minorEastAsia"/>
          <w:bCs/>
          <w:color w:val="auto"/>
          <w:sz w:val="28"/>
          <w:szCs w:val="28"/>
          <w:lang w:eastAsia="zh-CN"/>
        </w:rPr>
      </w:pPr>
      <w:r>
        <w:rPr>
          <w:rFonts w:hint="eastAsia" w:ascii="华文仿宋" w:hAnsi="华文仿宋" w:cs="宋体"/>
          <w:bCs/>
          <w:color w:val="auto"/>
          <w:sz w:val="28"/>
          <w:szCs w:val="28"/>
        </w:rPr>
        <w:t>5.8评委会一致确认应属于废标的其它严重情况</w:t>
      </w:r>
      <w:r>
        <w:rPr>
          <w:rFonts w:hint="eastAsia" w:ascii="华文仿宋" w:hAnsi="华文仿宋" w:cs="宋体"/>
          <w:bCs/>
          <w:color w:val="auto"/>
          <w:sz w:val="28"/>
          <w:szCs w:val="28"/>
          <w:lang w:eastAsia="zh-CN"/>
        </w:rPr>
        <w:t>。</w:t>
      </w:r>
    </w:p>
    <w:p>
      <w:pPr>
        <w:pStyle w:val="7"/>
        <w:adjustRightInd w:val="0"/>
        <w:snapToGrid w:val="0"/>
        <w:spacing w:beforeLines="100" w:afterLines="100" w:line="440" w:lineRule="exact"/>
        <w:ind w:firstLine="562" w:firstLineChars="200"/>
        <w:jc w:val="center"/>
        <w:rPr>
          <w:rFonts w:ascii="华文仿宋" w:hAnsi="华文仿宋" w:eastAsia="宋体" w:cs="宋体"/>
          <w:b w:val="0"/>
          <w:color w:val="auto"/>
        </w:rPr>
      </w:pPr>
      <w:r>
        <w:rPr>
          <w:rFonts w:hint="eastAsia" w:ascii="华文仿宋" w:hAnsi="华文仿宋" w:eastAsia="宋体" w:cs="宋体"/>
          <w:color w:val="auto"/>
        </w:rPr>
        <w:t>（二）投标文件的编制</w:t>
      </w:r>
    </w:p>
    <w:p>
      <w:pPr>
        <w:pStyle w:val="14"/>
        <w:snapToGrid w:val="0"/>
        <w:spacing w:line="440" w:lineRule="exact"/>
        <w:jc w:val="left"/>
        <w:rPr>
          <w:rFonts w:cs="宋体"/>
          <w:b/>
          <w:bCs/>
          <w:color w:val="auto"/>
        </w:rPr>
      </w:pPr>
      <w:r>
        <w:rPr>
          <w:rFonts w:hint="eastAsia" w:cs="宋体"/>
          <w:b/>
          <w:bCs/>
          <w:color w:val="auto"/>
        </w:rPr>
        <w:t>1、投标文件应包括以下内容，并按照以下顺序装订</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1.1投标报价函；附件（一）</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1.2投标报价表；附件（二）</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1.3法定代表人资格证明；附件（三）</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1.4法定代表人授权委托书；附件（四）</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1.5承诺函、服务承诺函；附件（五）</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1.6项目服务、管理人员配置表以及证明材料；附件（六）</w:t>
      </w:r>
    </w:p>
    <w:p>
      <w:pPr>
        <w:pStyle w:val="14"/>
        <w:snapToGrid w:val="0"/>
        <w:spacing w:line="440" w:lineRule="exact"/>
        <w:jc w:val="left"/>
        <w:rPr>
          <w:rFonts w:cs="宋体"/>
          <w:color w:val="auto"/>
        </w:rPr>
      </w:pPr>
      <w:r>
        <w:rPr>
          <w:rFonts w:hint="eastAsia" w:ascii="华文仿宋" w:hAnsi="华文仿宋" w:cs="宋体"/>
          <w:bCs/>
          <w:color w:val="auto"/>
        </w:rPr>
        <w:t>1.7营业执照副本、机构代码证、税务登记证副本复印件（或三证合一的有效证</w:t>
      </w:r>
      <w:r>
        <w:rPr>
          <w:rFonts w:hint="eastAsia" w:cs="宋体"/>
          <w:color w:val="auto"/>
        </w:rPr>
        <w:t>件）；</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1.8食品卫生许可证；</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1.9从业人员健康证；</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1.10厨师证；</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1.11食品安全管理方案；</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1.12仓库管理方案；</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1.13经营方案；</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1.14消防安全管理方案；</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1.15投标人2019年1月1日以来与企事业单位合作的业绩；（提供合同复印件并加盖投标人公章，不接受投标人关联公司业绩）</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1.16提供早餐拟定品种；（投标人拟定的菜品应提供彩色参考实图加以证明）</w:t>
      </w:r>
    </w:p>
    <w:p>
      <w:pPr>
        <w:pStyle w:val="14"/>
        <w:snapToGrid w:val="0"/>
        <w:spacing w:line="440" w:lineRule="exact"/>
        <w:jc w:val="left"/>
        <w:rPr>
          <w:rFonts w:ascii="华文仿宋" w:hAnsi="华文仿宋" w:cs="宋体"/>
          <w:bCs/>
          <w:color w:val="auto"/>
        </w:rPr>
      </w:pPr>
      <w:r>
        <w:rPr>
          <w:rFonts w:hint="eastAsia" w:ascii="华文仿宋" w:hAnsi="华文仿宋" w:cs="宋体"/>
          <w:bCs/>
          <w:color w:val="auto"/>
        </w:rPr>
        <w:t>1.17招标选定菜品表；附件（七）</w:t>
      </w:r>
    </w:p>
    <w:p>
      <w:pPr>
        <w:pStyle w:val="14"/>
        <w:snapToGrid w:val="0"/>
        <w:spacing w:line="440" w:lineRule="exact"/>
        <w:jc w:val="left"/>
        <w:rPr>
          <w:rFonts w:cs="宋体"/>
          <w:color w:val="auto"/>
        </w:rPr>
      </w:pPr>
      <w:r>
        <w:rPr>
          <w:rFonts w:hint="eastAsia" w:ascii="华文仿宋" w:hAnsi="华文仿宋" w:cs="宋体"/>
          <w:bCs/>
          <w:color w:val="auto"/>
        </w:rPr>
        <w:t>1.18投标</w:t>
      </w:r>
      <w:r>
        <w:rPr>
          <w:rFonts w:hint="eastAsia" w:cs="宋体"/>
          <w:color w:val="auto"/>
        </w:rPr>
        <w:t>人认为需要表述的与本次招标有关的其它内容。</w:t>
      </w:r>
    </w:p>
    <w:p>
      <w:pPr>
        <w:pStyle w:val="14"/>
        <w:snapToGrid w:val="0"/>
        <w:spacing w:line="440" w:lineRule="exact"/>
        <w:ind w:firstLine="560" w:firstLineChars="200"/>
        <w:jc w:val="left"/>
        <w:rPr>
          <w:rFonts w:ascii="Calibri" w:hAnsi="Calibri" w:cs="宋体"/>
          <w:color w:val="auto"/>
        </w:rPr>
      </w:pPr>
    </w:p>
    <w:p>
      <w:pPr>
        <w:snapToGrid w:val="0"/>
        <w:spacing w:line="360" w:lineRule="auto"/>
        <w:jc w:val="left"/>
        <w:rPr>
          <w:rFonts w:ascii="华文仿宋" w:hAnsi="华文仿宋" w:cs="宋体"/>
          <w:color w:val="auto"/>
          <w:sz w:val="28"/>
          <w:szCs w:val="28"/>
        </w:rPr>
      </w:pPr>
      <w:r>
        <w:rPr>
          <w:rFonts w:hint="eastAsia" w:ascii="华文仿宋" w:hAnsi="华文仿宋" w:cs="宋体"/>
          <w:b/>
          <w:bCs/>
          <w:color w:val="auto"/>
          <w:sz w:val="28"/>
          <w:szCs w:val="28"/>
        </w:rPr>
        <w:t xml:space="preserve">2、投标文件装订要求  </w:t>
      </w:r>
    </w:p>
    <w:p>
      <w:p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2.1投标人须把投标文件装订成册，一式三份。</w:t>
      </w:r>
      <w:r>
        <w:rPr>
          <w:rFonts w:hint="eastAsia" w:ascii="华文仿宋" w:hAnsi="华文仿宋" w:cs="宋体"/>
          <w:color w:val="auto"/>
          <w:sz w:val="28"/>
          <w:szCs w:val="28"/>
          <w:lang w:eastAsia="zh-CN"/>
        </w:rPr>
        <w:t>电子版投标文件一份。</w:t>
      </w:r>
      <w:r>
        <w:rPr>
          <w:rFonts w:hint="eastAsia" w:ascii="华文仿宋" w:hAnsi="华文仿宋" w:cs="宋体"/>
          <w:color w:val="auto"/>
          <w:sz w:val="28"/>
          <w:szCs w:val="28"/>
        </w:rPr>
        <w:t>投标文件须盖投标人公章，并有法定代表人或委托代理人的签名。</w:t>
      </w:r>
    </w:p>
    <w:p>
      <w:pPr>
        <w:snapToGrid w:val="0"/>
        <w:spacing w:line="360" w:lineRule="auto"/>
        <w:jc w:val="left"/>
        <w:rPr>
          <w:rFonts w:hint="eastAsia" w:ascii="华文仿宋" w:hAnsi="华文仿宋" w:cs="宋体" w:eastAsiaTheme="minorEastAsia"/>
          <w:color w:val="auto"/>
          <w:sz w:val="28"/>
          <w:szCs w:val="28"/>
          <w:lang w:eastAsia="zh-CN"/>
        </w:rPr>
      </w:pPr>
      <w:r>
        <w:rPr>
          <w:rFonts w:hint="eastAsia" w:ascii="华文仿宋" w:hAnsi="华文仿宋" w:cs="宋体"/>
          <w:color w:val="auto"/>
          <w:sz w:val="28"/>
          <w:szCs w:val="28"/>
        </w:rPr>
        <w:t>2.2三份投标文件装在一个文件袋内，文件袋要密封，封面注明招标项目和招标单位、投标人名称，并注明“开标时启封”字样并加盖齐缝公章。投标文件不按规定密封视为无效。</w:t>
      </w:r>
      <w:r>
        <w:rPr>
          <w:rFonts w:hint="eastAsia" w:ascii="华文仿宋" w:hAnsi="华文仿宋" w:cs="宋体"/>
          <w:color w:val="auto"/>
          <w:sz w:val="28"/>
          <w:szCs w:val="28"/>
          <w:lang w:eastAsia="zh-CN"/>
        </w:rPr>
        <w:t>投标文件不予退还，请投标人自备底稿。</w:t>
      </w:r>
    </w:p>
    <w:p>
      <w:pPr>
        <w:pStyle w:val="7"/>
        <w:adjustRightInd w:val="0"/>
        <w:snapToGrid w:val="0"/>
        <w:spacing w:beforeLines="100" w:afterLines="100" w:line="440" w:lineRule="exact"/>
        <w:ind w:firstLine="562" w:firstLineChars="200"/>
        <w:jc w:val="center"/>
        <w:rPr>
          <w:rFonts w:ascii="华文仿宋" w:hAnsi="华文仿宋" w:eastAsia="宋体" w:cs="宋体"/>
          <w:color w:val="auto"/>
        </w:rPr>
      </w:pPr>
      <w:r>
        <w:rPr>
          <w:rFonts w:hint="eastAsia" w:ascii="华文仿宋" w:hAnsi="华文仿宋" w:eastAsia="宋体" w:cs="宋体"/>
          <w:color w:val="auto"/>
        </w:rPr>
        <w:t>（三）开标</w:t>
      </w:r>
    </w:p>
    <w:p>
      <w:pPr>
        <w:pStyle w:val="8"/>
        <w:adjustRightInd w:val="0"/>
        <w:snapToGrid w:val="0"/>
        <w:spacing w:before="0" w:after="0" w:line="440" w:lineRule="exact"/>
        <w:rPr>
          <w:rFonts w:ascii="华文仿宋" w:hAnsi="华文仿宋" w:cs="宋体"/>
          <w:color w:val="auto"/>
        </w:rPr>
      </w:pPr>
      <w:r>
        <w:rPr>
          <w:rFonts w:hint="eastAsia" w:ascii="华文仿宋" w:hAnsi="华文仿宋" w:cs="宋体"/>
          <w:color w:val="auto"/>
        </w:rPr>
        <w:t>1、开标</w:t>
      </w:r>
    </w:p>
    <w:p>
      <w:p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1.1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1.2投标单位参加开标的法定代表人或授权代理人，必须在规定的投标文件递交截止时间前到达现场签到,否则将拒收投标文件。</w:t>
      </w:r>
    </w:p>
    <w:p>
      <w:p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1.3投标企业提供的以上材料须真实可靠，如有弄虚作假，一经发现查实，将不予退还投标保证金，取消投（中）标资格，并在发布招标文件的网站上公示。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1.4开标由招标方项目负责人主持，并按规定的程序进行。</w:t>
      </w:r>
    </w:p>
    <w:p>
      <w:pPr>
        <w:pStyle w:val="7"/>
        <w:adjustRightInd w:val="0"/>
        <w:snapToGrid w:val="0"/>
        <w:spacing w:beforeLines="100" w:afterLines="100" w:line="440" w:lineRule="exact"/>
        <w:jc w:val="center"/>
        <w:rPr>
          <w:rFonts w:ascii="华文仿宋" w:hAnsi="华文仿宋" w:eastAsia="宋体" w:cs="宋体"/>
          <w:color w:val="auto"/>
        </w:rPr>
      </w:pPr>
      <w:r>
        <w:rPr>
          <w:rFonts w:hint="eastAsia" w:ascii="华文仿宋" w:hAnsi="华文仿宋" w:eastAsia="宋体" w:cs="宋体"/>
          <w:color w:val="auto"/>
        </w:rPr>
        <w:t>（四）评标</w:t>
      </w:r>
    </w:p>
    <w:p>
      <w:pPr>
        <w:pStyle w:val="8"/>
        <w:adjustRightInd w:val="0"/>
        <w:snapToGrid w:val="0"/>
        <w:spacing w:before="0" w:after="0" w:line="440" w:lineRule="exact"/>
        <w:rPr>
          <w:rFonts w:ascii="华文仿宋" w:hAnsi="华文仿宋" w:cs="宋体"/>
          <w:color w:val="auto"/>
        </w:rPr>
      </w:pPr>
      <w:r>
        <w:rPr>
          <w:rFonts w:hint="eastAsia" w:ascii="华文仿宋" w:hAnsi="华文仿宋" w:cs="宋体"/>
          <w:color w:val="auto"/>
        </w:rPr>
        <w:t>1、评标委员会与评标</w:t>
      </w:r>
    </w:p>
    <w:p>
      <w:p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1.1 评标活动由评标委员会负责</w:t>
      </w:r>
    </w:p>
    <w:p>
      <w:p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评标工作由招标单位依法组建的评标委员会负责，评标委员会成员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1.2评标采用保密方式进行。</w:t>
      </w:r>
    </w:p>
    <w:p>
      <w:pPr>
        <w:snapToGrid w:val="0"/>
        <w:spacing w:line="360" w:lineRule="auto"/>
        <w:jc w:val="left"/>
        <w:rPr>
          <w:rFonts w:ascii="华文仿宋" w:hAnsi="华文仿宋" w:cs="宋体"/>
          <w:b/>
          <w:bCs/>
          <w:color w:val="auto"/>
          <w:kern w:val="0"/>
          <w:sz w:val="24"/>
        </w:rPr>
      </w:pPr>
      <w:r>
        <w:rPr>
          <w:rFonts w:hint="eastAsia" w:ascii="华文仿宋" w:hAnsi="华文仿宋" w:cs="宋体"/>
          <w:color w:val="auto"/>
          <w:sz w:val="28"/>
          <w:szCs w:val="28"/>
        </w:rPr>
        <w:t>1.3本次评标采用综合评标法，评标委员会按照综合得分从高到低依次排序，综合得分相同的，按投标报价由低到高顺序排列，推荐前2名为中标候选人；1.4中标人的确定：招标人报请院领导集体确定，从评标委员会推荐的中标候选人中确定预中标人，进行不少于3个工作日的公示。</w:t>
      </w:r>
    </w:p>
    <w:p>
      <w:pPr>
        <w:snapToGrid w:val="0"/>
        <w:spacing w:line="360" w:lineRule="auto"/>
        <w:jc w:val="left"/>
        <w:rPr>
          <w:rFonts w:ascii="华文仿宋" w:hAnsi="华文仿宋" w:cs="宋体"/>
          <w:color w:val="auto"/>
          <w:sz w:val="28"/>
          <w:szCs w:val="28"/>
        </w:rPr>
      </w:pPr>
      <w:r>
        <w:rPr>
          <w:rFonts w:hint="eastAsia" w:ascii="华文仿宋" w:hAnsi="华文仿宋" w:cs="宋体"/>
          <w:color w:val="auto"/>
          <w:sz w:val="28"/>
          <w:szCs w:val="28"/>
        </w:rPr>
        <w:t>1.5具体评分标准如下：</w:t>
      </w:r>
    </w:p>
    <w:tbl>
      <w:tblPr>
        <w:tblStyle w:val="16"/>
        <w:tblW w:w="10620" w:type="dxa"/>
        <w:tblInd w:w="-227" w:type="dxa"/>
        <w:tblLayout w:type="fixed"/>
        <w:tblCellMar>
          <w:top w:w="0" w:type="dxa"/>
          <w:left w:w="108" w:type="dxa"/>
          <w:bottom w:w="0" w:type="dxa"/>
          <w:right w:w="108" w:type="dxa"/>
        </w:tblCellMar>
      </w:tblPr>
      <w:tblGrid>
        <w:gridCol w:w="776"/>
        <w:gridCol w:w="1310"/>
        <w:gridCol w:w="763"/>
        <w:gridCol w:w="7771"/>
      </w:tblGrid>
      <w:tr>
        <w:tblPrEx>
          <w:tblCellMar>
            <w:top w:w="0" w:type="dxa"/>
            <w:left w:w="108" w:type="dxa"/>
            <w:bottom w:w="0" w:type="dxa"/>
            <w:right w:w="108" w:type="dxa"/>
          </w:tblCellMar>
        </w:tblPrEx>
        <w:trPr>
          <w:trHeight w:val="300"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b/>
                <w:bCs/>
                <w:color w:val="auto"/>
                <w:kern w:val="0"/>
                <w:sz w:val="28"/>
                <w:szCs w:val="28"/>
              </w:rPr>
            </w:pPr>
            <w:r>
              <w:rPr>
                <w:rFonts w:hint="eastAsia" w:ascii="宋体" w:hAnsi="宋体" w:eastAsia="宋体" w:cs="宋体"/>
                <w:b/>
                <w:bCs/>
                <w:color w:val="auto"/>
                <w:kern w:val="0"/>
                <w:sz w:val="28"/>
                <w:szCs w:val="28"/>
              </w:rPr>
              <w:t>序号</w:t>
            </w:r>
          </w:p>
        </w:tc>
        <w:tc>
          <w:tcPr>
            <w:tcW w:w="131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评价</w:t>
            </w:r>
          </w:p>
          <w:p>
            <w:pPr>
              <w:widowControl/>
              <w:spacing w:line="400" w:lineRule="exact"/>
              <w:jc w:val="center"/>
              <w:rPr>
                <w:rFonts w:ascii="宋体" w:eastAsia="宋体" w:cs="宋体"/>
                <w:b/>
                <w:bCs/>
                <w:color w:val="auto"/>
                <w:kern w:val="0"/>
                <w:sz w:val="28"/>
                <w:szCs w:val="28"/>
              </w:rPr>
            </w:pPr>
            <w:r>
              <w:rPr>
                <w:rFonts w:hint="eastAsia" w:ascii="宋体" w:hAnsi="宋体" w:eastAsia="宋体" w:cs="宋体"/>
                <w:b/>
                <w:bCs/>
                <w:color w:val="auto"/>
                <w:kern w:val="0"/>
                <w:sz w:val="28"/>
                <w:szCs w:val="28"/>
              </w:rPr>
              <w:t>项目</w:t>
            </w:r>
          </w:p>
        </w:tc>
        <w:tc>
          <w:tcPr>
            <w:tcW w:w="76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eastAsia="宋体" w:cs="宋体"/>
                <w:b/>
                <w:bCs/>
                <w:color w:val="auto"/>
                <w:kern w:val="0"/>
                <w:sz w:val="28"/>
                <w:szCs w:val="28"/>
              </w:rPr>
            </w:pPr>
            <w:r>
              <w:rPr>
                <w:rFonts w:hint="eastAsia" w:ascii="宋体" w:hAnsi="宋体" w:eastAsia="宋体" w:cs="宋体"/>
                <w:b/>
                <w:bCs/>
                <w:color w:val="auto"/>
                <w:kern w:val="0"/>
                <w:sz w:val="28"/>
                <w:szCs w:val="28"/>
              </w:rPr>
              <w:t>分值</w:t>
            </w:r>
          </w:p>
        </w:tc>
        <w:tc>
          <w:tcPr>
            <w:tcW w:w="7771" w:type="dxa"/>
            <w:tcBorders>
              <w:top w:val="single" w:color="auto" w:sz="4" w:space="0"/>
              <w:left w:val="nil"/>
              <w:bottom w:val="single" w:color="auto" w:sz="4" w:space="0"/>
              <w:right w:val="single" w:color="auto" w:sz="4" w:space="0"/>
            </w:tcBorders>
            <w:noWrap/>
            <w:vAlign w:val="center"/>
          </w:tcPr>
          <w:p>
            <w:pPr>
              <w:widowControl/>
              <w:spacing w:line="400" w:lineRule="exact"/>
              <w:ind w:firstLine="562" w:firstLineChars="200"/>
              <w:jc w:val="center"/>
              <w:rPr>
                <w:rFonts w:ascii="宋体" w:eastAsia="宋体" w:cs="宋体"/>
                <w:b/>
                <w:bCs/>
                <w:color w:val="auto"/>
                <w:kern w:val="0"/>
                <w:sz w:val="28"/>
                <w:szCs w:val="28"/>
              </w:rPr>
            </w:pPr>
            <w:r>
              <w:rPr>
                <w:rFonts w:hint="eastAsia" w:ascii="宋体" w:hAnsi="宋体" w:eastAsia="宋体" w:cs="宋体"/>
                <w:b/>
                <w:bCs/>
                <w:color w:val="auto"/>
                <w:kern w:val="0"/>
                <w:sz w:val="28"/>
                <w:szCs w:val="28"/>
              </w:rPr>
              <w:t>评分标准</w:t>
            </w:r>
          </w:p>
        </w:tc>
      </w:tr>
      <w:tr>
        <w:tblPrEx>
          <w:tblCellMar>
            <w:top w:w="0" w:type="dxa"/>
            <w:left w:w="108" w:type="dxa"/>
            <w:bottom w:w="0" w:type="dxa"/>
            <w:right w:w="108" w:type="dxa"/>
          </w:tblCellMar>
        </w:tblPrEx>
        <w:trPr>
          <w:trHeight w:val="1145"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hAnsi="宋体" w:eastAsia="宋体" w:cs="宋体"/>
                <w:color w:val="auto"/>
                <w:kern w:val="0"/>
                <w:sz w:val="28"/>
                <w:szCs w:val="28"/>
              </w:rPr>
              <w:t>1</w:t>
            </w:r>
          </w:p>
        </w:tc>
        <w:tc>
          <w:tcPr>
            <w:tcW w:w="13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投标</w:t>
            </w:r>
          </w:p>
          <w:p>
            <w:pPr>
              <w:widowControl/>
              <w:spacing w:line="400" w:lineRule="exact"/>
              <w:jc w:val="center"/>
              <w:rPr>
                <w:rFonts w:ascii="宋体" w:eastAsia="宋体" w:cs="宋体"/>
                <w:color w:val="auto"/>
                <w:kern w:val="0"/>
                <w:sz w:val="28"/>
                <w:szCs w:val="28"/>
              </w:rPr>
            </w:pPr>
            <w:r>
              <w:rPr>
                <w:rFonts w:hint="eastAsia" w:ascii="宋体" w:hAnsi="宋体" w:eastAsia="宋体" w:cs="宋体"/>
                <w:color w:val="auto"/>
                <w:kern w:val="0"/>
                <w:sz w:val="28"/>
                <w:szCs w:val="28"/>
              </w:rPr>
              <w:t>报价</w:t>
            </w:r>
          </w:p>
        </w:tc>
        <w:tc>
          <w:tcPr>
            <w:tcW w:w="763"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85</w:t>
            </w:r>
          </w:p>
        </w:tc>
        <w:tc>
          <w:tcPr>
            <w:tcW w:w="7771"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ind w:firstLine="560" w:firstLineChars="200"/>
              <w:jc w:val="left"/>
              <w:rPr>
                <w:rFonts w:ascii="宋体" w:eastAsia="宋体" w:cs="宋体"/>
                <w:color w:val="auto"/>
                <w:kern w:val="0"/>
                <w:sz w:val="28"/>
                <w:szCs w:val="28"/>
              </w:rPr>
            </w:pPr>
            <w:r>
              <w:rPr>
                <w:rFonts w:hint="eastAsia" w:ascii="宋体" w:hAnsi="宋体" w:eastAsia="宋体" w:cs="宋体"/>
                <w:color w:val="auto"/>
                <w:kern w:val="0"/>
                <w:sz w:val="28"/>
                <w:szCs w:val="28"/>
              </w:rPr>
              <w:t>所有通过评审的有效报价，最低报价为评标基准价满分85。其他报价得分=（投标报价/评标基准价）×85。</w:t>
            </w:r>
          </w:p>
        </w:tc>
      </w:tr>
      <w:tr>
        <w:tblPrEx>
          <w:tblCellMar>
            <w:top w:w="0" w:type="dxa"/>
            <w:left w:w="108" w:type="dxa"/>
            <w:bottom w:w="0" w:type="dxa"/>
            <w:right w:w="108" w:type="dxa"/>
          </w:tblCellMar>
        </w:tblPrEx>
        <w:trPr>
          <w:trHeight w:val="984" w:hRule="atLeast"/>
        </w:trPr>
        <w:tc>
          <w:tcPr>
            <w:tcW w:w="776"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hAnsi="宋体" w:eastAsia="宋体" w:cs="宋体"/>
                <w:color w:val="auto"/>
                <w:kern w:val="0"/>
                <w:sz w:val="28"/>
                <w:szCs w:val="28"/>
              </w:rPr>
              <w:t>2</w:t>
            </w:r>
          </w:p>
        </w:tc>
        <w:tc>
          <w:tcPr>
            <w:tcW w:w="1310"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hAnsi="宋体" w:eastAsia="宋体" w:cs="宋体"/>
                <w:color w:val="auto"/>
                <w:kern w:val="0"/>
                <w:sz w:val="28"/>
                <w:szCs w:val="28"/>
              </w:rPr>
              <w:t>业绩</w:t>
            </w:r>
          </w:p>
        </w:tc>
        <w:tc>
          <w:tcPr>
            <w:tcW w:w="763"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5</w:t>
            </w:r>
          </w:p>
        </w:tc>
        <w:tc>
          <w:tcPr>
            <w:tcW w:w="7771" w:type="dxa"/>
            <w:tcBorders>
              <w:top w:val="single" w:color="auto" w:sz="4" w:space="0"/>
              <w:left w:val="single" w:color="000000" w:sz="4" w:space="0"/>
              <w:bottom w:val="single" w:color="000000" w:sz="4" w:space="0"/>
              <w:right w:val="single" w:color="000000" w:sz="4" w:space="0"/>
            </w:tcBorders>
            <w:noWrap/>
            <w:vAlign w:val="center"/>
          </w:tcPr>
          <w:p>
            <w:pPr>
              <w:widowControl/>
              <w:spacing w:line="400" w:lineRule="exact"/>
              <w:ind w:firstLine="560" w:firstLineChars="200"/>
              <w:jc w:val="left"/>
              <w:rPr>
                <w:rFonts w:ascii="宋体" w:eastAsia="宋体" w:cs="宋体"/>
                <w:color w:val="auto"/>
                <w:kern w:val="0"/>
                <w:sz w:val="28"/>
                <w:szCs w:val="28"/>
              </w:rPr>
            </w:pPr>
            <w:r>
              <w:rPr>
                <w:rFonts w:hint="eastAsia" w:ascii="宋体" w:hAnsi="宋体" w:eastAsia="宋体" w:cs="宋体"/>
                <w:color w:val="auto"/>
                <w:kern w:val="0"/>
                <w:sz w:val="28"/>
                <w:szCs w:val="28"/>
              </w:rPr>
              <w:t>投标人与其他单位食堂合作的餐饮业绩证明（提供销售合同复印件和联系电话，不接受投标人关联公司业绩），提供一份得3分，每多一份加1分，本项最高5分。</w:t>
            </w:r>
          </w:p>
        </w:tc>
      </w:tr>
      <w:tr>
        <w:tblPrEx>
          <w:tblCellMar>
            <w:top w:w="0" w:type="dxa"/>
            <w:left w:w="108" w:type="dxa"/>
            <w:bottom w:w="0" w:type="dxa"/>
            <w:right w:w="108" w:type="dxa"/>
          </w:tblCellMar>
        </w:tblPrEx>
        <w:trPr>
          <w:trHeight w:val="536" w:hRule="atLeast"/>
        </w:trPr>
        <w:tc>
          <w:tcPr>
            <w:tcW w:w="776"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5</w:t>
            </w:r>
          </w:p>
        </w:tc>
        <w:tc>
          <w:tcPr>
            <w:tcW w:w="1310" w:type="dxa"/>
            <w:tcBorders>
              <w:top w:val="nil"/>
              <w:left w:val="nil"/>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经营</w:t>
            </w:r>
          </w:p>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管理</w:t>
            </w:r>
          </w:p>
        </w:tc>
        <w:tc>
          <w:tcPr>
            <w:tcW w:w="763" w:type="dxa"/>
            <w:tcBorders>
              <w:top w:val="nil"/>
              <w:left w:val="nil"/>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5</w:t>
            </w:r>
          </w:p>
        </w:tc>
        <w:tc>
          <w:tcPr>
            <w:tcW w:w="7771" w:type="dxa"/>
            <w:tcBorders>
              <w:top w:val="single" w:color="auto" w:sz="4" w:space="0"/>
              <w:left w:val="nil"/>
              <w:bottom w:val="single" w:color="auto" w:sz="4" w:space="0"/>
              <w:right w:val="single" w:color="auto" w:sz="4" w:space="0"/>
            </w:tcBorders>
            <w:noWrap/>
            <w:vAlign w:val="center"/>
          </w:tcPr>
          <w:p>
            <w:pPr>
              <w:widowControl/>
              <w:spacing w:line="400" w:lineRule="exact"/>
              <w:ind w:firstLine="560" w:firstLineChars="200"/>
              <w:jc w:val="left"/>
              <w:rPr>
                <w:rFonts w:ascii="宋体" w:eastAsia="宋体" w:cs="宋体"/>
                <w:color w:val="auto"/>
                <w:kern w:val="0"/>
                <w:sz w:val="28"/>
                <w:szCs w:val="28"/>
              </w:rPr>
            </w:pPr>
            <w:r>
              <w:rPr>
                <w:rFonts w:hint="eastAsia" w:ascii="宋体" w:hAnsi="宋体" w:cs="宋体"/>
                <w:color w:val="auto"/>
                <w:kern w:val="0"/>
                <w:sz w:val="28"/>
                <w:szCs w:val="28"/>
              </w:rPr>
              <w:t>对提供的食品安全管理、仓库管理、安全防范措施进行</w:t>
            </w:r>
            <w:r>
              <w:rPr>
                <w:rFonts w:hint="eastAsia" w:ascii="宋体" w:cs="宋体"/>
                <w:color w:val="auto"/>
                <w:kern w:val="0"/>
                <w:sz w:val="28"/>
                <w:szCs w:val="28"/>
              </w:rPr>
              <w:t>横向对比，综合对比为优得3.5-5分；综合对比为良得1.5-3分；综合对比为一般得0-1.5分。</w:t>
            </w:r>
          </w:p>
        </w:tc>
      </w:tr>
      <w:tr>
        <w:tblPrEx>
          <w:tblCellMar>
            <w:top w:w="0" w:type="dxa"/>
            <w:left w:w="108" w:type="dxa"/>
            <w:bottom w:w="0" w:type="dxa"/>
            <w:right w:w="108" w:type="dxa"/>
          </w:tblCellMar>
        </w:tblPrEx>
        <w:trPr>
          <w:trHeight w:val="536" w:hRule="atLeast"/>
        </w:trPr>
        <w:tc>
          <w:tcPr>
            <w:tcW w:w="776"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6</w:t>
            </w:r>
          </w:p>
        </w:tc>
        <w:tc>
          <w:tcPr>
            <w:tcW w:w="1310" w:type="dxa"/>
            <w:tcBorders>
              <w:top w:val="nil"/>
              <w:left w:val="nil"/>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厨师</w:t>
            </w:r>
          </w:p>
        </w:tc>
        <w:tc>
          <w:tcPr>
            <w:tcW w:w="763" w:type="dxa"/>
            <w:tcBorders>
              <w:top w:val="nil"/>
              <w:left w:val="nil"/>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5</w:t>
            </w:r>
          </w:p>
        </w:tc>
        <w:tc>
          <w:tcPr>
            <w:tcW w:w="7771" w:type="dxa"/>
            <w:tcBorders>
              <w:top w:val="single" w:color="auto" w:sz="4" w:space="0"/>
              <w:left w:val="nil"/>
              <w:bottom w:val="single" w:color="auto" w:sz="4" w:space="0"/>
              <w:right w:val="single" w:color="auto" w:sz="4" w:space="0"/>
            </w:tcBorders>
            <w:noWrap/>
            <w:vAlign w:val="center"/>
          </w:tcPr>
          <w:p>
            <w:pPr>
              <w:widowControl/>
              <w:spacing w:line="400" w:lineRule="exact"/>
              <w:ind w:firstLine="560" w:firstLineChars="200"/>
              <w:jc w:val="left"/>
              <w:rPr>
                <w:rFonts w:ascii="宋体" w:eastAsia="宋体" w:cs="宋体"/>
                <w:color w:val="auto"/>
                <w:kern w:val="0"/>
                <w:sz w:val="28"/>
                <w:szCs w:val="28"/>
              </w:rPr>
            </w:pPr>
            <w:r>
              <w:rPr>
                <w:rFonts w:hint="eastAsia" w:ascii="宋体" w:eastAsia="宋体" w:cs="宋体"/>
                <w:color w:val="auto"/>
                <w:kern w:val="0"/>
                <w:sz w:val="28"/>
                <w:szCs w:val="28"/>
              </w:rPr>
              <w:t>配备一位厨师得2分，每多一位加1分，本项最高5分。需提供厨师证加以证明。</w:t>
            </w:r>
          </w:p>
        </w:tc>
      </w:tr>
      <w:tr>
        <w:tblPrEx>
          <w:tblCellMar>
            <w:top w:w="0" w:type="dxa"/>
            <w:left w:w="108" w:type="dxa"/>
            <w:bottom w:w="0" w:type="dxa"/>
            <w:right w:w="108" w:type="dxa"/>
          </w:tblCellMar>
        </w:tblPrEx>
        <w:trPr>
          <w:trHeight w:val="536" w:hRule="atLeast"/>
        </w:trPr>
        <w:tc>
          <w:tcPr>
            <w:tcW w:w="77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7</w:t>
            </w:r>
          </w:p>
        </w:tc>
        <w:tc>
          <w:tcPr>
            <w:tcW w:w="131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合计</w:t>
            </w:r>
          </w:p>
        </w:tc>
        <w:tc>
          <w:tcPr>
            <w:tcW w:w="763"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宋体" w:eastAsia="宋体" w:cs="宋体"/>
                <w:color w:val="auto"/>
                <w:kern w:val="0"/>
                <w:sz w:val="28"/>
                <w:szCs w:val="28"/>
              </w:rPr>
            </w:pPr>
            <w:r>
              <w:rPr>
                <w:rFonts w:hint="eastAsia" w:ascii="宋体" w:eastAsia="宋体" w:cs="宋体"/>
                <w:color w:val="auto"/>
                <w:kern w:val="0"/>
                <w:sz w:val="28"/>
                <w:szCs w:val="28"/>
              </w:rPr>
              <w:t>100</w:t>
            </w:r>
          </w:p>
        </w:tc>
        <w:tc>
          <w:tcPr>
            <w:tcW w:w="7771" w:type="dxa"/>
            <w:tcBorders>
              <w:top w:val="single" w:color="auto" w:sz="4" w:space="0"/>
              <w:left w:val="nil"/>
              <w:bottom w:val="single" w:color="auto" w:sz="4" w:space="0"/>
              <w:right w:val="single" w:color="auto" w:sz="4" w:space="0"/>
            </w:tcBorders>
            <w:noWrap/>
            <w:vAlign w:val="center"/>
          </w:tcPr>
          <w:p>
            <w:pPr>
              <w:widowControl/>
              <w:spacing w:line="400" w:lineRule="exact"/>
              <w:ind w:firstLine="560" w:firstLineChars="200"/>
              <w:jc w:val="left"/>
              <w:rPr>
                <w:rFonts w:ascii="宋体" w:eastAsia="宋体" w:cs="宋体"/>
                <w:color w:val="auto"/>
                <w:kern w:val="0"/>
                <w:sz w:val="28"/>
                <w:szCs w:val="28"/>
              </w:rPr>
            </w:pPr>
          </w:p>
        </w:tc>
      </w:tr>
    </w:tbl>
    <w:p>
      <w:pPr>
        <w:pStyle w:val="7"/>
        <w:adjustRightInd w:val="0"/>
        <w:snapToGrid w:val="0"/>
        <w:spacing w:beforeLines="100" w:afterLines="100" w:line="440" w:lineRule="exact"/>
        <w:jc w:val="center"/>
        <w:rPr>
          <w:rFonts w:ascii="华文仿宋" w:hAnsi="华文仿宋" w:eastAsia="宋体" w:cs="宋体"/>
          <w:color w:val="auto"/>
        </w:rPr>
      </w:pPr>
      <w:r>
        <w:rPr>
          <w:rFonts w:hint="eastAsia" w:ascii="华文仿宋" w:hAnsi="华文仿宋" w:eastAsia="宋体" w:cs="宋体"/>
          <w:color w:val="auto"/>
        </w:rPr>
        <w:t>（五）合同主要条款</w:t>
      </w:r>
    </w:p>
    <w:p>
      <w:pPr>
        <w:autoSpaceDE w:val="0"/>
        <w:autoSpaceDN w:val="0"/>
        <w:adjustRightInd w:val="0"/>
        <w:snapToGrid w:val="0"/>
        <w:spacing w:line="440" w:lineRule="exact"/>
        <w:ind w:firstLine="562" w:firstLineChars="200"/>
        <w:jc w:val="center"/>
        <w:rPr>
          <w:rFonts w:ascii="宋体" w:hAnsi="宋体" w:cs="宋体"/>
          <w:b/>
          <w:bCs/>
          <w:color w:val="auto"/>
          <w:sz w:val="28"/>
          <w:szCs w:val="28"/>
        </w:rPr>
      </w:pPr>
      <w:r>
        <w:rPr>
          <w:rFonts w:hint="eastAsia" w:ascii="宋体" w:hAnsi="宋体" w:cs="宋体"/>
          <w:b/>
          <w:bCs/>
          <w:color w:val="auto"/>
          <w:sz w:val="28"/>
          <w:szCs w:val="28"/>
        </w:rPr>
        <w:t>第三部分合同主要条款</w:t>
      </w:r>
    </w:p>
    <w:p>
      <w:pPr>
        <w:pStyle w:val="14"/>
        <w:snapToGrid w:val="0"/>
        <w:spacing w:line="440" w:lineRule="exact"/>
        <w:ind w:firstLine="560" w:firstLineChars="200"/>
        <w:jc w:val="left"/>
        <w:rPr>
          <w:rFonts w:cs="宋体"/>
          <w:color w:val="auto"/>
        </w:rPr>
      </w:pPr>
      <w:r>
        <w:rPr>
          <w:rFonts w:hint="eastAsia" w:cs="宋体"/>
          <w:color w:val="auto"/>
        </w:rPr>
        <w:t>以下合同主要条款中甲方为招标人，乙方为投标人。</w:t>
      </w:r>
    </w:p>
    <w:p>
      <w:pPr>
        <w:autoSpaceDE w:val="0"/>
        <w:autoSpaceDN w:val="0"/>
        <w:adjustRightInd w:val="0"/>
        <w:snapToGrid w:val="0"/>
        <w:spacing w:line="440" w:lineRule="exact"/>
        <w:ind w:firstLine="562" w:firstLineChars="200"/>
        <w:jc w:val="left"/>
        <w:rPr>
          <w:rFonts w:ascii="宋体" w:hAnsi="宋体" w:cs="宋体"/>
          <w:b/>
          <w:bCs/>
          <w:color w:val="auto"/>
          <w:sz w:val="28"/>
          <w:szCs w:val="28"/>
        </w:rPr>
      </w:pPr>
      <w:r>
        <w:rPr>
          <w:rFonts w:hint="eastAsia" w:ascii="宋体" w:hAnsi="宋体" w:cs="宋体"/>
          <w:b/>
          <w:bCs/>
          <w:color w:val="auto"/>
          <w:sz w:val="28"/>
          <w:szCs w:val="28"/>
        </w:rPr>
        <w:t>一、合同期限</w:t>
      </w:r>
    </w:p>
    <w:p>
      <w:pPr>
        <w:pStyle w:val="14"/>
        <w:snapToGrid w:val="0"/>
        <w:spacing w:line="440" w:lineRule="exact"/>
        <w:ind w:firstLine="560" w:firstLineChars="200"/>
        <w:jc w:val="left"/>
        <w:rPr>
          <w:rFonts w:cs="宋体"/>
          <w:color w:val="auto"/>
        </w:rPr>
      </w:pPr>
      <w:r>
        <w:rPr>
          <w:rFonts w:hint="eastAsia" w:cs="宋体"/>
          <w:color w:val="auto"/>
        </w:rPr>
        <w:t>合同期限</w:t>
      </w:r>
      <w:r>
        <w:rPr>
          <w:rFonts w:hint="eastAsia" w:ascii="宋体" w:hAnsi="宋体" w:cs="宋体"/>
          <w:color w:val="auto"/>
        </w:rPr>
        <w:t>为二年</w:t>
      </w:r>
      <w:r>
        <w:rPr>
          <w:rFonts w:hint="eastAsia" w:cs="宋体"/>
          <w:color w:val="auto"/>
        </w:rPr>
        <w:t>。</w:t>
      </w:r>
    </w:p>
    <w:p>
      <w:pPr>
        <w:pStyle w:val="14"/>
        <w:snapToGrid w:val="0"/>
        <w:spacing w:line="440" w:lineRule="exact"/>
        <w:ind w:firstLine="562" w:firstLineChars="200"/>
        <w:jc w:val="left"/>
        <w:rPr>
          <w:rFonts w:ascii="Calibri" w:hAnsi="Calibri" w:cs="宋体"/>
          <w:b/>
          <w:bCs/>
          <w:color w:val="auto"/>
        </w:rPr>
      </w:pPr>
      <w:r>
        <w:rPr>
          <w:rFonts w:hint="eastAsia" w:ascii="Calibri" w:hAnsi="Calibri" w:cs="宋体"/>
          <w:b/>
          <w:bCs/>
          <w:color w:val="auto"/>
        </w:rPr>
        <w:t>二、费用结算</w:t>
      </w:r>
    </w:p>
    <w:p>
      <w:pPr>
        <w:pStyle w:val="14"/>
        <w:snapToGrid w:val="0"/>
        <w:spacing w:line="440" w:lineRule="exact"/>
        <w:jc w:val="left"/>
        <w:rPr>
          <w:rFonts w:ascii="Calibri" w:hAnsi="Calibri" w:cs="宋体"/>
          <w:b/>
          <w:bCs/>
          <w:color w:val="auto"/>
        </w:rPr>
      </w:pPr>
      <w:r>
        <w:rPr>
          <w:rFonts w:hint="eastAsia" w:ascii="Calibri" w:hAnsi="Calibri" w:cs="宋体"/>
          <w:color w:val="auto"/>
        </w:rPr>
        <w:t xml:space="preserve"> 乙方根据甲方开具给体检人员的餐券，每张餐券代表一人次早餐消费，每月10号前，甲乙双方</w:t>
      </w:r>
      <w:r>
        <w:rPr>
          <w:rFonts w:hint="eastAsia" w:ascii="Calibri" w:hAnsi="Calibri" w:cs="宋体"/>
          <w:color w:val="auto"/>
          <w:lang w:eastAsia="zh-CN"/>
        </w:rPr>
        <w:t>与监督人员</w:t>
      </w:r>
      <w:r>
        <w:rPr>
          <w:rFonts w:hint="eastAsia" w:ascii="Calibri" w:hAnsi="Calibri" w:cs="宋体"/>
          <w:color w:val="auto"/>
        </w:rPr>
        <w:t>核对餐券数量</w:t>
      </w:r>
      <w:r>
        <w:rPr>
          <w:rFonts w:hint="eastAsia" w:ascii="Calibri" w:hAnsi="Calibri" w:cs="宋体"/>
          <w:color w:val="auto"/>
          <w:lang w:eastAsia="zh-CN"/>
        </w:rPr>
        <w:t>并签字确认</w:t>
      </w:r>
      <w:r>
        <w:rPr>
          <w:rFonts w:hint="eastAsia" w:ascii="Calibri" w:hAnsi="Calibri" w:cs="宋体"/>
          <w:color w:val="auto"/>
        </w:rPr>
        <w:t>，双方无异议后，甲方在收到乙方开具的发票后30日内进行结算。</w:t>
      </w:r>
    </w:p>
    <w:p>
      <w:pPr>
        <w:pStyle w:val="14"/>
        <w:numPr>
          <w:ilvl w:val="0"/>
          <w:numId w:val="2"/>
        </w:numPr>
        <w:snapToGrid w:val="0"/>
        <w:spacing w:line="440" w:lineRule="exact"/>
        <w:ind w:firstLine="562" w:firstLineChars="200"/>
        <w:jc w:val="left"/>
        <w:rPr>
          <w:color w:val="auto"/>
        </w:rPr>
      </w:pPr>
      <w:r>
        <w:rPr>
          <w:rFonts w:hint="eastAsia" w:ascii="Calibri" w:hAnsi="Calibri" w:cs="宋体"/>
          <w:b/>
          <w:bCs/>
          <w:color w:val="auto"/>
        </w:rPr>
        <w:t>经营范围</w:t>
      </w:r>
    </w:p>
    <w:p>
      <w:pPr>
        <w:pStyle w:val="14"/>
        <w:snapToGrid w:val="0"/>
        <w:spacing w:line="440" w:lineRule="exact"/>
        <w:ind w:firstLine="560" w:firstLineChars="200"/>
        <w:jc w:val="left"/>
        <w:rPr>
          <w:rFonts w:ascii="宋体" w:hAnsi="宋体" w:cs="宋体"/>
          <w:color w:val="auto"/>
        </w:rPr>
      </w:pPr>
      <w:r>
        <w:rPr>
          <w:rFonts w:hint="eastAsia" w:cs="宋体"/>
          <w:color w:val="auto"/>
        </w:rPr>
        <w:t>为体检人员提供早餐。在餐厅经营过程中未经甲方许可不得从事与餐饮无关的经营项目，</w:t>
      </w:r>
      <w:r>
        <w:rPr>
          <w:rFonts w:hint="eastAsia" w:ascii="宋体" w:hAnsi="宋体" w:cs="宋体"/>
          <w:color w:val="auto"/>
        </w:rPr>
        <w:t>不得在餐厅内摆摊设点。不得在餐厅售卖非自制食品，不得售卖饮料。</w:t>
      </w:r>
    </w:p>
    <w:p>
      <w:pPr>
        <w:pStyle w:val="14"/>
        <w:snapToGrid w:val="0"/>
        <w:spacing w:line="440" w:lineRule="exact"/>
        <w:ind w:firstLine="562" w:firstLineChars="200"/>
        <w:jc w:val="left"/>
        <w:rPr>
          <w:rFonts w:ascii="Calibri" w:hAnsi="Calibri" w:cs="宋体"/>
          <w:b/>
          <w:bCs/>
          <w:color w:val="auto"/>
        </w:rPr>
      </w:pPr>
      <w:r>
        <w:rPr>
          <w:rFonts w:hint="eastAsia" w:ascii="Calibri" w:hAnsi="Calibri" w:cs="宋体"/>
          <w:b/>
          <w:bCs/>
          <w:color w:val="auto"/>
        </w:rPr>
        <w:t>四、乙方主要责任和义务</w:t>
      </w:r>
    </w:p>
    <w:p>
      <w:pPr>
        <w:pStyle w:val="14"/>
        <w:snapToGrid w:val="0"/>
        <w:spacing w:line="440" w:lineRule="exact"/>
        <w:ind w:firstLine="560" w:firstLineChars="200"/>
        <w:jc w:val="left"/>
        <w:rPr>
          <w:rFonts w:cs="宋体"/>
          <w:color w:val="auto"/>
        </w:rPr>
      </w:pPr>
      <w:r>
        <w:rPr>
          <w:rFonts w:hint="eastAsia" w:cs="宋体"/>
          <w:color w:val="auto"/>
        </w:rPr>
        <w:t>（一）每日确保早餐供应，配备专业管理人员、厨师和服务人员，并满足需要。</w:t>
      </w:r>
    </w:p>
    <w:p>
      <w:pPr>
        <w:pStyle w:val="14"/>
        <w:snapToGrid w:val="0"/>
        <w:spacing w:line="440" w:lineRule="exact"/>
        <w:ind w:firstLine="560" w:firstLineChars="200"/>
        <w:jc w:val="left"/>
        <w:rPr>
          <w:rFonts w:cs="宋体"/>
          <w:color w:val="auto"/>
        </w:rPr>
      </w:pPr>
      <w:r>
        <w:rPr>
          <w:rFonts w:hint="eastAsia" w:cs="宋体"/>
          <w:color w:val="auto"/>
        </w:rPr>
        <w:t>（二）服从甲方安排为体检人员提供早餐服务。</w:t>
      </w:r>
    </w:p>
    <w:p>
      <w:pPr>
        <w:pStyle w:val="14"/>
        <w:snapToGrid w:val="0"/>
        <w:spacing w:line="440" w:lineRule="exact"/>
        <w:ind w:firstLine="560" w:firstLineChars="200"/>
        <w:jc w:val="left"/>
        <w:rPr>
          <w:rFonts w:cs="宋体"/>
          <w:color w:val="auto"/>
        </w:rPr>
      </w:pPr>
      <w:r>
        <w:rPr>
          <w:rFonts w:hint="eastAsia" w:cs="宋体"/>
          <w:color w:val="auto"/>
        </w:rPr>
        <w:t>（三）疫情严重期间服从医院统一调度。</w:t>
      </w:r>
    </w:p>
    <w:p>
      <w:pPr>
        <w:pStyle w:val="14"/>
        <w:snapToGrid w:val="0"/>
        <w:spacing w:line="440" w:lineRule="exact"/>
        <w:ind w:firstLine="560" w:firstLineChars="200"/>
        <w:jc w:val="left"/>
        <w:rPr>
          <w:rFonts w:cs="宋体"/>
          <w:color w:val="auto"/>
        </w:rPr>
      </w:pPr>
      <w:r>
        <w:rPr>
          <w:rFonts w:hint="eastAsia" w:cs="宋体"/>
          <w:color w:val="auto"/>
        </w:rPr>
        <w:t>（五）乙方必须按院方核定的饭菜和份量</w:t>
      </w:r>
      <w:r>
        <w:rPr>
          <w:rFonts w:hint="eastAsia" w:cs="宋体"/>
          <w:color w:val="auto"/>
          <w:lang w:eastAsia="zh-CN"/>
        </w:rPr>
        <w:t>提供给体检人员</w:t>
      </w:r>
      <w:r>
        <w:rPr>
          <w:rFonts w:hint="eastAsia" w:cs="宋体"/>
          <w:color w:val="auto"/>
        </w:rPr>
        <w:t>，不得私自减量。</w:t>
      </w:r>
    </w:p>
    <w:p>
      <w:pPr>
        <w:pStyle w:val="14"/>
        <w:snapToGrid w:val="0"/>
        <w:spacing w:line="440" w:lineRule="exact"/>
        <w:ind w:firstLine="560" w:firstLineChars="200"/>
        <w:jc w:val="left"/>
        <w:rPr>
          <w:rFonts w:cs="宋体"/>
          <w:color w:val="auto"/>
        </w:rPr>
      </w:pPr>
      <w:r>
        <w:rPr>
          <w:rFonts w:hint="eastAsia" w:cs="宋体"/>
          <w:color w:val="auto"/>
        </w:rPr>
        <w:t>（六）所有食品必须自主加工，不得代售外来成品食品及其他商品，不得擅自扩大经营范围。</w:t>
      </w:r>
    </w:p>
    <w:p>
      <w:pPr>
        <w:pStyle w:val="14"/>
        <w:snapToGrid w:val="0"/>
        <w:spacing w:line="440" w:lineRule="exact"/>
        <w:ind w:firstLine="560" w:firstLineChars="200"/>
        <w:jc w:val="left"/>
        <w:rPr>
          <w:rFonts w:cs="宋体"/>
          <w:color w:val="auto"/>
        </w:rPr>
      </w:pPr>
      <w:r>
        <w:rPr>
          <w:rFonts w:hint="eastAsia" w:cs="宋体"/>
          <w:color w:val="auto"/>
        </w:rPr>
        <w:t>（七）为确保食品卫生安全，乙方必须在有合法资质经销商处购买米面油，鸡鱼肉蛋，调味品等，并索票索证，报甲方主管部门备案。</w:t>
      </w:r>
    </w:p>
    <w:p>
      <w:pPr>
        <w:pStyle w:val="14"/>
        <w:snapToGrid w:val="0"/>
        <w:spacing w:line="440" w:lineRule="exact"/>
        <w:ind w:firstLine="560" w:firstLineChars="200"/>
        <w:jc w:val="left"/>
        <w:rPr>
          <w:rFonts w:cs="宋体"/>
          <w:color w:val="auto"/>
        </w:rPr>
      </w:pPr>
      <w:r>
        <w:rPr>
          <w:rFonts w:hint="eastAsia" w:cs="宋体"/>
          <w:color w:val="auto"/>
        </w:rPr>
        <w:t>（八）因经营和操作不规范，而被供电、防疫、消防等有关执法部门处罚的，由乙方自行承担责任，甲方还将视其情节轻重另外予以处理。</w:t>
      </w:r>
    </w:p>
    <w:p>
      <w:pPr>
        <w:pStyle w:val="14"/>
        <w:snapToGrid w:val="0"/>
        <w:spacing w:line="440" w:lineRule="exact"/>
        <w:ind w:firstLine="560" w:firstLineChars="200"/>
        <w:jc w:val="left"/>
        <w:rPr>
          <w:rFonts w:cs="宋体"/>
          <w:color w:val="auto"/>
        </w:rPr>
      </w:pPr>
      <w:r>
        <w:rPr>
          <w:rFonts w:hint="eastAsia" w:cs="宋体"/>
          <w:color w:val="auto"/>
        </w:rPr>
        <w:t>（九）乙方要落实好员工的安全防范措施，对员工进行岗前培训，在承租期内，乙方员工的人身安全由乙方负责。</w:t>
      </w:r>
    </w:p>
    <w:p>
      <w:pPr>
        <w:pStyle w:val="14"/>
        <w:snapToGrid w:val="0"/>
        <w:spacing w:line="440" w:lineRule="exact"/>
        <w:ind w:firstLine="560" w:firstLineChars="200"/>
        <w:jc w:val="left"/>
        <w:rPr>
          <w:rFonts w:cs="宋体"/>
          <w:color w:val="auto"/>
        </w:rPr>
      </w:pPr>
      <w:r>
        <w:rPr>
          <w:rFonts w:hint="eastAsia" w:cs="宋体"/>
          <w:color w:val="auto"/>
        </w:rPr>
        <w:t>（十）</w:t>
      </w:r>
      <w:r>
        <w:rPr>
          <w:rFonts w:hint="eastAsia" w:cs="宋体"/>
          <w:color w:val="auto"/>
          <w:lang w:eastAsia="zh-CN"/>
        </w:rPr>
        <w:t>乙方自行配置</w:t>
      </w:r>
      <w:r>
        <w:rPr>
          <w:rFonts w:hint="eastAsia" w:ascii="宋体" w:hAnsi="宋体" w:cs="宋体"/>
          <w:color w:val="auto"/>
        </w:rPr>
        <w:t>售卖设备（器具）、净化排烟装置，以及食品安全要求的设备、设施。</w:t>
      </w:r>
    </w:p>
    <w:p>
      <w:pPr>
        <w:pStyle w:val="14"/>
        <w:snapToGrid w:val="0"/>
        <w:spacing w:line="440" w:lineRule="exact"/>
        <w:ind w:firstLine="560" w:firstLineChars="200"/>
        <w:jc w:val="left"/>
        <w:rPr>
          <w:rFonts w:cs="宋体"/>
          <w:color w:val="auto"/>
        </w:rPr>
      </w:pPr>
      <w:r>
        <w:rPr>
          <w:rFonts w:hint="eastAsia" w:cs="宋体"/>
          <w:color w:val="auto"/>
        </w:rPr>
        <w:t>（十一）乙方不得采购不符合卫生标准的食品及出售过保质期的饭菜，自主经营，自负盈亏。</w:t>
      </w:r>
    </w:p>
    <w:p>
      <w:pPr>
        <w:pStyle w:val="14"/>
        <w:snapToGrid w:val="0"/>
        <w:spacing w:line="440" w:lineRule="exact"/>
        <w:ind w:firstLine="560" w:firstLineChars="200"/>
        <w:jc w:val="left"/>
        <w:rPr>
          <w:rFonts w:cs="宋体"/>
          <w:color w:val="auto"/>
        </w:rPr>
      </w:pPr>
      <w:r>
        <w:rPr>
          <w:rFonts w:hint="eastAsia" w:cs="宋体"/>
          <w:color w:val="auto"/>
        </w:rPr>
        <w:t>（十二）按有关部门要求，办理证照，达到 “明厨亮灶”的要求。重视食品安全和环境卫生，泔水处理按淮北市相山区主管部门要求处理。</w:t>
      </w:r>
    </w:p>
    <w:p>
      <w:pPr>
        <w:pStyle w:val="14"/>
        <w:snapToGrid w:val="0"/>
        <w:spacing w:line="440" w:lineRule="exact"/>
        <w:ind w:firstLine="560" w:firstLineChars="200"/>
        <w:jc w:val="left"/>
        <w:rPr>
          <w:rFonts w:cs="宋体"/>
          <w:color w:val="auto"/>
        </w:rPr>
      </w:pPr>
      <w:r>
        <w:rPr>
          <w:rFonts w:hint="eastAsia" w:cs="宋体"/>
          <w:color w:val="auto"/>
        </w:rPr>
        <w:t>（十二）装修配置方案和用工方案报甲方同意方可实施；装修场所必须按照市场监督管理局要求的进货、储存、分拣、洗涤、切配、加工、配餐等工作流程设计施工，严禁使用劣质不环保的建材装修。就餐食堂装饰装修和厨房设备、就餐桌椅等由乙方自行添加、投入。服务期满，设备、器具等动产乙方自行处理；装饰、装修等添附物无偿移交甲方。</w:t>
      </w:r>
    </w:p>
    <w:p>
      <w:pPr>
        <w:pStyle w:val="14"/>
        <w:snapToGrid w:val="0"/>
        <w:spacing w:line="440" w:lineRule="exact"/>
        <w:ind w:firstLine="560" w:firstLineChars="200"/>
        <w:jc w:val="left"/>
        <w:rPr>
          <w:rFonts w:cs="宋体"/>
          <w:color w:val="auto"/>
        </w:rPr>
      </w:pPr>
      <w:r>
        <w:rPr>
          <w:rFonts w:hint="eastAsia" w:cs="宋体"/>
          <w:color w:val="auto"/>
        </w:rPr>
        <w:t>（十三）水电费、卫生费、暖气费乙方自理；经营范围内的任何损坏由乙方自行维修；餐具及一切消耗品乙方自理；乙方自行进行管道疏通，消毒消杀；乙方要符合淮北矿业集团餐饮服务管理规定。</w:t>
      </w:r>
    </w:p>
    <w:p>
      <w:pPr>
        <w:pStyle w:val="14"/>
        <w:snapToGrid w:val="0"/>
        <w:spacing w:line="440" w:lineRule="exact"/>
        <w:ind w:firstLine="562" w:firstLineChars="200"/>
        <w:jc w:val="left"/>
        <w:rPr>
          <w:rFonts w:ascii="Calibri" w:hAnsi="Calibri" w:cs="宋体"/>
          <w:b/>
          <w:bCs/>
          <w:color w:val="auto"/>
        </w:rPr>
      </w:pPr>
      <w:r>
        <w:rPr>
          <w:rFonts w:hint="eastAsia" w:ascii="Calibri" w:hAnsi="Calibri" w:cs="宋体"/>
          <w:b/>
          <w:bCs/>
          <w:color w:val="auto"/>
        </w:rPr>
        <w:t>五、甲方主要责任和义务</w:t>
      </w:r>
    </w:p>
    <w:p>
      <w:pPr>
        <w:pStyle w:val="14"/>
        <w:snapToGrid w:val="0"/>
        <w:spacing w:line="440" w:lineRule="exact"/>
        <w:ind w:firstLine="560" w:firstLineChars="200"/>
        <w:jc w:val="left"/>
        <w:rPr>
          <w:rFonts w:cs="宋体"/>
          <w:color w:val="auto"/>
        </w:rPr>
      </w:pPr>
      <w:r>
        <w:rPr>
          <w:rFonts w:hint="eastAsia" w:cs="宋体"/>
          <w:color w:val="auto"/>
        </w:rPr>
        <w:t>（一）对食堂食品安全、生产安全进行监管；</w:t>
      </w:r>
    </w:p>
    <w:p>
      <w:pPr>
        <w:pStyle w:val="14"/>
        <w:snapToGrid w:val="0"/>
        <w:spacing w:line="440" w:lineRule="exact"/>
        <w:ind w:firstLine="560" w:firstLineChars="200"/>
        <w:jc w:val="left"/>
        <w:rPr>
          <w:rFonts w:cs="宋体"/>
          <w:color w:val="auto"/>
        </w:rPr>
      </w:pPr>
      <w:r>
        <w:rPr>
          <w:rFonts w:hint="eastAsia" w:cs="宋体"/>
          <w:color w:val="auto"/>
        </w:rPr>
        <w:t>（二）及时按照约定支付给乙方餐费。</w:t>
      </w:r>
    </w:p>
    <w:p>
      <w:pPr>
        <w:pStyle w:val="14"/>
        <w:snapToGrid w:val="0"/>
        <w:spacing w:line="440" w:lineRule="exact"/>
        <w:ind w:firstLine="560" w:firstLineChars="200"/>
        <w:jc w:val="left"/>
        <w:rPr>
          <w:rFonts w:cs="宋体"/>
          <w:color w:val="auto"/>
        </w:rPr>
      </w:pPr>
      <w:r>
        <w:rPr>
          <w:rFonts w:hint="eastAsia" w:cs="宋体"/>
          <w:color w:val="auto"/>
        </w:rPr>
        <w:t>（三）负责提供早餐室房间并根据体检工作量的安排提供就餐人数。</w:t>
      </w:r>
    </w:p>
    <w:p>
      <w:pPr>
        <w:pStyle w:val="14"/>
        <w:snapToGrid w:val="0"/>
        <w:spacing w:line="440" w:lineRule="exact"/>
        <w:ind w:firstLine="562" w:firstLineChars="200"/>
        <w:jc w:val="left"/>
        <w:rPr>
          <w:rFonts w:ascii="Calibri" w:hAnsi="Calibri" w:cs="宋体"/>
          <w:b/>
          <w:bCs/>
          <w:color w:val="auto"/>
        </w:rPr>
      </w:pPr>
      <w:r>
        <w:rPr>
          <w:rFonts w:hint="eastAsia" w:ascii="Calibri" w:hAnsi="Calibri" w:cs="宋体"/>
          <w:b/>
          <w:bCs/>
          <w:color w:val="auto"/>
        </w:rPr>
        <w:t>六、管理要求</w:t>
      </w:r>
    </w:p>
    <w:p>
      <w:pPr>
        <w:pStyle w:val="14"/>
        <w:snapToGrid w:val="0"/>
        <w:spacing w:line="440" w:lineRule="exact"/>
        <w:ind w:firstLine="560" w:firstLineChars="200"/>
        <w:jc w:val="left"/>
        <w:rPr>
          <w:rFonts w:cs="宋体"/>
          <w:color w:val="auto"/>
        </w:rPr>
      </w:pPr>
      <w:r>
        <w:rPr>
          <w:rFonts w:hint="eastAsia" w:cs="宋体"/>
          <w:color w:val="auto"/>
        </w:rPr>
        <w:t>（一）早餐室坚持统一管理，封闭式运行，分操作间经营，非工作人员不得进入早餐室操作间、工作区域。</w:t>
      </w:r>
    </w:p>
    <w:p>
      <w:pPr>
        <w:pStyle w:val="14"/>
        <w:snapToGrid w:val="0"/>
        <w:spacing w:line="440" w:lineRule="exact"/>
        <w:ind w:firstLine="560" w:firstLineChars="200"/>
        <w:jc w:val="left"/>
        <w:rPr>
          <w:rFonts w:cs="宋体"/>
          <w:color w:val="auto"/>
        </w:rPr>
      </w:pPr>
      <w:r>
        <w:rPr>
          <w:rFonts w:hint="eastAsia" w:cs="宋体"/>
          <w:color w:val="auto"/>
        </w:rPr>
        <w:t>（二）应对早餐室区域内的原材料统一采购，仓库统一管理，粗加工场所统一设置，就餐区域统一保洁。售卖窗口不得用作粗加工或原材料存放场所。</w:t>
      </w:r>
    </w:p>
    <w:p>
      <w:pPr>
        <w:pStyle w:val="14"/>
        <w:snapToGrid w:val="0"/>
        <w:spacing w:line="440" w:lineRule="exact"/>
        <w:ind w:firstLine="560" w:firstLineChars="200"/>
        <w:jc w:val="left"/>
        <w:rPr>
          <w:rFonts w:cs="宋体"/>
          <w:color w:val="auto"/>
        </w:rPr>
      </w:pPr>
      <w:r>
        <w:rPr>
          <w:rFonts w:hint="eastAsia" w:cs="宋体"/>
          <w:color w:val="auto"/>
        </w:rPr>
        <w:t>（三）经营期间，乙方不得将早餐室经营项目整体或部分转让他人，乙方在食堂经营过程中对外签订任何协议（含劳动合同）或法律文件均应以乙方自身为主体，不得使用“安徽相王医疗健康股份有限公司早餐室”或其它与甲方有关的称谓。乙方与甲方以外的任何第三方发生的一切债权、债务关系均与甲方无关。</w:t>
      </w:r>
    </w:p>
    <w:p>
      <w:pPr>
        <w:pStyle w:val="14"/>
        <w:snapToGrid w:val="0"/>
        <w:spacing w:line="440" w:lineRule="exact"/>
        <w:ind w:firstLine="560" w:firstLineChars="200"/>
        <w:jc w:val="left"/>
        <w:rPr>
          <w:rFonts w:cs="宋体"/>
          <w:color w:val="auto"/>
        </w:rPr>
      </w:pPr>
      <w:r>
        <w:rPr>
          <w:rFonts w:hint="eastAsia" w:cs="宋体"/>
          <w:color w:val="auto"/>
        </w:rPr>
        <w:t>（四）乙方对投标文件指定的早餐室经理人选（项目负责人）应书面授权（合同签订前提交授权文件原件），早餐室经理应常驻食堂负责本项目至托管合同期满。确因合理理由需要更换食堂经理的，应事先书面征得甲方同意。</w:t>
      </w:r>
    </w:p>
    <w:p>
      <w:pPr>
        <w:pStyle w:val="14"/>
        <w:snapToGrid w:val="0"/>
        <w:spacing w:line="440" w:lineRule="exact"/>
        <w:ind w:firstLine="560" w:firstLineChars="200"/>
        <w:jc w:val="left"/>
        <w:rPr>
          <w:rFonts w:cs="宋体"/>
          <w:color w:val="auto"/>
        </w:rPr>
      </w:pPr>
      <w:r>
        <w:rPr>
          <w:rFonts w:hint="eastAsia" w:cs="宋体"/>
          <w:color w:val="auto"/>
        </w:rPr>
        <w:t>（五）操作服务程序须规范合理，服务人员做到文明用语、礼貌服务、热情周到。乙方必须按时、足量、保质提供膳食服务。</w:t>
      </w:r>
    </w:p>
    <w:p>
      <w:pPr>
        <w:pStyle w:val="14"/>
        <w:snapToGrid w:val="0"/>
        <w:spacing w:line="440" w:lineRule="exact"/>
        <w:ind w:firstLine="560" w:firstLineChars="200"/>
        <w:jc w:val="left"/>
        <w:rPr>
          <w:rFonts w:cs="宋体"/>
          <w:color w:val="auto"/>
        </w:rPr>
      </w:pPr>
      <w:r>
        <w:rPr>
          <w:rFonts w:hint="eastAsia" w:cs="宋体"/>
          <w:color w:val="auto"/>
        </w:rPr>
        <w:t>（六）每餐的各种菜品应各取不少于 125 克的样品留置于冷藏设备中保存 48 小时以上，以备查验。</w:t>
      </w:r>
    </w:p>
    <w:p>
      <w:pPr>
        <w:pStyle w:val="14"/>
        <w:snapToGrid w:val="0"/>
        <w:spacing w:line="440" w:lineRule="exact"/>
        <w:ind w:firstLine="560" w:firstLineChars="200"/>
        <w:jc w:val="left"/>
        <w:rPr>
          <w:rFonts w:cs="宋体"/>
          <w:color w:val="auto"/>
        </w:rPr>
      </w:pPr>
      <w:r>
        <w:rPr>
          <w:rFonts w:hint="eastAsia" w:cs="宋体"/>
          <w:color w:val="auto"/>
        </w:rPr>
        <w:t>（七）餐饮具使用前必须洗净、消毒，符合国家有关卫生标准，未经消毒的餐、饮具不得提供给消费者使用。禁止重复使用一次性地餐饮具。减少一次餐具的投放量，提倡使用钢化或瓷器餐具。餐具消毒严格按照“一洗、二刷、三冲、四消毒”的程序执行。</w:t>
      </w:r>
    </w:p>
    <w:p>
      <w:pPr>
        <w:pStyle w:val="14"/>
        <w:snapToGrid w:val="0"/>
        <w:spacing w:line="440" w:lineRule="exact"/>
        <w:ind w:firstLine="560" w:firstLineChars="200"/>
        <w:jc w:val="left"/>
        <w:rPr>
          <w:rFonts w:cs="宋体"/>
          <w:color w:val="auto"/>
        </w:rPr>
      </w:pPr>
      <w:r>
        <w:rPr>
          <w:rFonts w:hint="eastAsia" w:cs="宋体"/>
          <w:color w:val="auto"/>
        </w:rPr>
        <w:t>（八）餐饮具使用的洗涤、消毒剂必须符合卫生标准或要求。洗涤、消毒剂必须有固定的存放场所（橱柜），有明显的标记。消毒后的餐、饮具必须贮存在餐具专用保洁柜内备用。已消毒和未消毒的餐具应分开存放，并在贮存柜上有明显的标记。</w:t>
      </w:r>
    </w:p>
    <w:p>
      <w:pPr>
        <w:pStyle w:val="14"/>
        <w:snapToGrid w:val="0"/>
        <w:spacing w:line="440" w:lineRule="exact"/>
        <w:ind w:firstLine="562" w:firstLineChars="200"/>
        <w:jc w:val="left"/>
        <w:rPr>
          <w:rFonts w:ascii="Calibri" w:hAnsi="Calibri" w:cs="宋体"/>
          <w:b/>
          <w:bCs/>
          <w:color w:val="auto"/>
        </w:rPr>
      </w:pPr>
      <w:r>
        <w:rPr>
          <w:rFonts w:hint="eastAsia" w:ascii="Calibri" w:hAnsi="Calibri" w:cs="宋体"/>
          <w:b/>
          <w:bCs/>
          <w:color w:val="auto"/>
        </w:rPr>
        <w:t>七、违约责任</w:t>
      </w:r>
    </w:p>
    <w:p>
      <w:pPr>
        <w:pStyle w:val="14"/>
        <w:snapToGrid w:val="0"/>
        <w:spacing w:line="440" w:lineRule="exact"/>
        <w:ind w:firstLine="560" w:firstLineChars="200"/>
        <w:jc w:val="left"/>
        <w:rPr>
          <w:rFonts w:cs="宋体"/>
          <w:color w:val="auto"/>
        </w:rPr>
      </w:pPr>
      <w:r>
        <w:rPr>
          <w:rFonts w:hint="eastAsia" w:cs="宋体"/>
          <w:color w:val="auto"/>
        </w:rPr>
        <w:t>（一）乙方在承包早餐室期间不得分包、转包以及向外租赁部分窗口，否则视为严重违约，甲方有权解除合同。</w:t>
      </w:r>
    </w:p>
    <w:p>
      <w:pPr>
        <w:pStyle w:val="14"/>
        <w:snapToGrid w:val="0"/>
        <w:spacing w:line="440" w:lineRule="exact"/>
        <w:ind w:firstLine="560" w:firstLineChars="200"/>
        <w:jc w:val="left"/>
        <w:rPr>
          <w:rFonts w:hint="eastAsia" w:cs="宋体"/>
          <w:color w:val="auto"/>
          <w:highlight w:val="none"/>
        </w:rPr>
      </w:pPr>
      <w:r>
        <w:rPr>
          <w:rFonts w:hint="eastAsia" w:cs="宋体"/>
          <w:color w:val="auto"/>
        </w:rPr>
        <w:t>（</w:t>
      </w:r>
      <w:r>
        <w:rPr>
          <w:rFonts w:hint="eastAsia" w:cs="宋体"/>
          <w:color w:val="auto"/>
          <w:lang w:eastAsia="zh-CN"/>
        </w:rPr>
        <w:t>二</w:t>
      </w:r>
      <w:r>
        <w:rPr>
          <w:rFonts w:hint="eastAsia" w:cs="宋体"/>
          <w:color w:val="auto"/>
        </w:rPr>
        <w:t>）乙方若违反合同约定的经营范围并在甲方通知改正后拒不改正的，视</w:t>
      </w:r>
      <w:r>
        <w:rPr>
          <w:rFonts w:hint="eastAsia" w:cs="宋体"/>
          <w:color w:val="auto"/>
          <w:highlight w:val="none"/>
        </w:rPr>
        <w:t>为严重违约，甲方有权解除合同</w:t>
      </w:r>
      <w:r>
        <w:rPr>
          <w:rFonts w:hint="eastAsia" w:cs="宋体"/>
          <w:color w:val="auto"/>
          <w:highlight w:val="none"/>
          <w:lang w:eastAsia="zh-CN"/>
        </w:rPr>
        <w:t>，</w:t>
      </w:r>
      <w:r>
        <w:rPr>
          <w:rFonts w:hint="eastAsia" w:cs="宋体"/>
          <w:color w:val="auto"/>
          <w:highlight w:val="none"/>
          <w:lang w:val="en-US" w:eastAsia="zh-CN"/>
        </w:rPr>
        <w:t>乙方履约保证金不予退还</w:t>
      </w:r>
      <w:r>
        <w:rPr>
          <w:rFonts w:hint="eastAsia" w:cs="宋体"/>
          <w:color w:val="auto"/>
          <w:highlight w:val="none"/>
        </w:rPr>
        <w:t>。</w:t>
      </w:r>
    </w:p>
    <w:p>
      <w:pPr>
        <w:pStyle w:val="14"/>
        <w:snapToGrid w:val="0"/>
        <w:spacing w:line="440" w:lineRule="exact"/>
        <w:ind w:firstLine="560" w:firstLineChars="200"/>
        <w:jc w:val="left"/>
        <w:rPr>
          <w:rFonts w:hint="eastAsia" w:cs="宋体"/>
          <w:color w:val="auto"/>
          <w:highlight w:val="none"/>
        </w:rPr>
      </w:pPr>
      <w:r>
        <w:rPr>
          <w:rFonts w:hint="eastAsia" w:cs="宋体"/>
          <w:color w:val="auto"/>
          <w:highlight w:val="none"/>
          <w:lang w:eastAsia="zh-CN"/>
        </w:rPr>
        <w:t>（三）</w:t>
      </w:r>
      <w:r>
        <w:rPr>
          <w:rFonts w:hint="eastAsia" w:cs="宋体"/>
          <w:color w:val="auto"/>
          <w:highlight w:val="none"/>
        </w:rPr>
        <w:t>乙方配餐质量下降，品种单调，引致</w:t>
      </w:r>
      <w:r>
        <w:rPr>
          <w:rFonts w:hint="eastAsia" w:cs="宋体"/>
          <w:color w:val="auto"/>
          <w:highlight w:val="none"/>
          <w:lang w:eastAsia="zh-CN"/>
        </w:rPr>
        <w:t>体检人员</w:t>
      </w:r>
      <w:r>
        <w:rPr>
          <w:rFonts w:hint="eastAsia" w:cs="宋体"/>
          <w:color w:val="auto"/>
          <w:highlight w:val="none"/>
        </w:rPr>
        <w:t>就餐满意投诉的，乙方须立即整改，整改直至甲方满意为止。</w:t>
      </w:r>
    </w:p>
    <w:p>
      <w:pPr>
        <w:pStyle w:val="14"/>
        <w:snapToGrid w:val="0"/>
        <w:spacing w:line="440" w:lineRule="exact"/>
        <w:ind w:firstLine="560" w:firstLineChars="200"/>
        <w:jc w:val="left"/>
        <w:rPr>
          <w:rFonts w:hint="eastAsia" w:cs="宋体"/>
          <w:color w:val="auto"/>
          <w:highlight w:val="none"/>
        </w:rPr>
      </w:pPr>
      <w:r>
        <w:rPr>
          <w:rFonts w:hint="eastAsia" w:asciiTheme="minorHAnsi" w:hAnsiTheme="minorHAnsi" w:eastAsiaTheme="minorEastAsia" w:cstheme="minorBidi"/>
          <w:sz w:val="28"/>
          <w:szCs w:val="32"/>
          <w:lang w:eastAsia="zh-CN"/>
        </w:rPr>
        <w:t>（四）</w:t>
      </w:r>
      <w:r>
        <w:rPr>
          <w:rFonts w:hint="eastAsia" w:asciiTheme="minorHAnsi" w:hAnsiTheme="minorHAnsi" w:eastAsiaTheme="minorEastAsia" w:cstheme="minorBidi"/>
          <w:sz w:val="28"/>
          <w:szCs w:val="32"/>
        </w:rPr>
        <w:t>乙方必须做到每日按时送餐，保证供餐时间，特殊情况下，应适当延长供餐时间，并保证供餐质量。</w:t>
      </w:r>
      <w:r>
        <w:rPr>
          <w:rFonts w:hint="eastAsia" w:asciiTheme="minorHAnsi" w:hAnsiTheme="minorHAnsi" w:cstheme="minorBidi"/>
          <w:sz w:val="28"/>
          <w:szCs w:val="32"/>
          <w:lang w:eastAsia="zh-CN"/>
        </w:rPr>
        <w:t>单月违约</w:t>
      </w:r>
      <w:r>
        <w:rPr>
          <w:rFonts w:hint="eastAsia" w:cs="宋体"/>
          <w:color w:val="auto"/>
          <w:highlight w:val="none"/>
          <w:lang w:eastAsia="zh-CN"/>
        </w:rPr>
        <w:t>第一次扣罚乙方违约金</w:t>
      </w:r>
      <w:r>
        <w:rPr>
          <w:rFonts w:hint="eastAsia" w:cs="宋体"/>
          <w:color w:val="auto"/>
          <w:highlight w:val="none"/>
          <w:lang w:val="en-US" w:eastAsia="zh-CN"/>
        </w:rPr>
        <w:t>200元，第二次扣罚乙方违约金500元，第三次扣罚乙方违约金1000元。</w:t>
      </w:r>
    </w:p>
    <w:p>
      <w:pPr>
        <w:pStyle w:val="14"/>
        <w:snapToGrid w:val="0"/>
        <w:spacing w:line="440" w:lineRule="exact"/>
        <w:ind w:firstLine="560" w:firstLineChars="200"/>
        <w:jc w:val="left"/>
        <w:rPr>
          <w:rFonts w:hint="eastAsia" w:cs="宋体"/>
          <w:color w:val="auto"/>
          <w:highlight w:val="none"/>
          <w:lang w:val="en-US" w:eastAsia="zh-CN"/>
        </w:rPr>
      </w:pPr>
      <w:r>
        <w:rPr>
          <w:rFonts w:hint="eastAsia" w:cs="宋体"/>
          <w:color w:val="auto"/>
          <w:highlight w:val="none"/>
          <w:lang w:eastAsia="zh-CN"/>
        </w:rPr>
        <w:t>（五）合同期内乙方一月内因服务态度、食品卫生、早餐品种、早餐质量等被体检人员投诉，经甲方查证核实的，第一次扣罚乙方违约金</w:t>
      </w:r>
      <w:r>
        <w:rPr>
          <w:rFonts w:hint="eastAsia" w:cs="宋体"/>
          <w:color w:val="auto"/>
          <w:highlight w:val="none"/>
          <w:lang w:val="en-US" w:eastAsia="zh-CN"/>
        </w:rPr>
        <w:t>200元，第二次扣罚乙方违约金500元，第三次扣罚乙方违约金1000元。</w:t>
      </w:r>
    </w:p>
    <w:p>
      <w:pPr>
        <w:pStyle w:val="14"/>
        <w:snapToGrid w:val="0"/>
        <w:spacing w:line="440" w:lineRule="exact"/>
        <w:ind w:firstLine="560" w:firstLineChars="200"/>
        <w:jc w:val="left"/>
        <w:rPr>
          <w:rFonts w:hint="eastAsia" w:cs="宋体"/>
          <w:color w:val="auto"/>
          <w:highlight w:val="none"/>
          <w:lang w:val="en-US" w:eastAsia="zh-CN"/>
        </w:rPr>
      </w:pPr>
      <w:r>
        <w:rPr>
          <w:rFonts w:hint="eastAsia" w:cs="宋体"/>
          <w:color w:val="auto"/>
          <w:highlight w:val="none"/>
          <w:lang w:val="en-US" w:eastAsia="zh-CN"/>
        </w:rPr>
        <w:t>（六）乙方连续三个月被体检人员单月投诉次数达三次以上或连续三个月送餐时间迟延，甲方有权解除合同，乙方履约保证金不予退还。</w:t>
      </w:r>
    </w:p>
    <w:p>
      <w:pPr>
        <w:pStyle w:val="14"/>
        <w:snapToGrid w:val="0"/>
        <w:spacing w:line="440" w:lineRule="exact"/>
        <w:ind w:firstLine="560" w:firstLineChars="200"/>
        <w:jc w:val="left"/>
        <w:rPr>
          <w:rFonts w:hint="default" w:cs="宋体"/>
          <w:color w:val="auto"/>
          <w:highlight w:val="none"/>
          <w:lang w:val="en-US" w:eastAsia="zh-CN"/>
        </w:rPr>
      </w:pPr>
      <w:r>
        <w:rPr>
          <w:rFonts w:hint="eastAsia" w:cs="宋体"/>
          <w:color w:val="auto"/>
          <w:highlight w:val="none"/>
          <w:lang w:val="en-US" w:eastAsia="zh-CN"/>
        </w:rPr>
        <w:t>（七）合同期内</w:t>
      </w:r>
      <w:r>
        <w:rPr>
          <w:rFonts w:hint="default" w:cs="宋体"/>
          <w:color w:val="auto"/>
          <w:highlight w:val="none"/>
          <w:lang w:val="en-US" w:eastAsia="zh-CN"/>
        </w:rPr>
        <w:t>因</w:t>
      </w:r>
      <w:r>
        <w:rPr>
          <w:rFonts w:hint="eastAsia" w:cs="宋体"/>
          <w:color w:val="auto"/>
          <w:highlight w:val="none"/>
          <w:lang w:val="en-US" w:eastAsia="zh-CN"/>
        </w:rPr>
        <w:t>乙方</w:t>
      </w:r>
      <w:r>
        <w:rPr>
          <w:rFonts w:hint="default" w:cs="宋体"/>
          <w:color w:val="auto"/>
          <w:highlight w:val="none"/>
          <w:lang w:val="en-US" w:eastAsia="zh-CN"/>
        </w:rPr>
        <w:t>早餐供应不新鲜，造成</w:t>
      </w:r>
      <w:r>
        <w:rPr>
          <w:rFonts w:hint="eastAsia" w:cs="宋体"/>
          <w:color w:val="auto"/>
          <w:highlight w:val="none"/>
          <w:lang w:val="en-US" w:eastAsia="zh-CN"/>
        </w:rPr>
        <w:t>体检人员</w:t>
      </w:r>
      <w:r>
        <w:rPr>
          <w:rFonts w:hint="default" w:cs="宋体"/>
          <w:color w:val="auto"/>
          <w:highlight w:val="none"/>
          <w:lang w:val="en-US" w:eastAsia="zh-CN"/>
        </w:rPr>
        <w:t>食物中毒的，甲方有权</w:t>
      </w:r>
      <w:r>
        <w:rPr>
          <w:rFonts w:hint="eastAsia" w:cs="宋体"/>
          <w:color w:val="auto"/>
          <w:highlight w:val="none"/>
          <w:lang w:val="en-US" w:eastAsia="zh-CN"/>
        </w:rPr>
        <w:t>解除合同，乙方履约保证金不予退还。</w:t>
      </w:r>
    </w:p>
    <w:p>
      <w:pPr>
        <w:pStyle w:val="14"/>
        <w:snapToGrid w:val="0"/>
        <w:spacing w:line="440" w:lineRule="exact"/>
        <w:ind w:firstLine="560" w:firstLineChars="200"/>
        <w:jc w:val="left"/>
        <w:rPr>
          <w:rFonts w:hint="eastAsia" w:cs="宋体"/>
          <w:color w:val="auto"/>
          <w:highlight w:val="none"/>
          <w:lang w:eastAsia="zh-CN"/>
        </w:rPr>
      </w:pPr>
      <w:r>
        <w:rPr>
          <w:rFonts w:hint="eastAsia" w:cs="宋体"/>
          <w:color w:val="auto"/>
          <w:highlight w:val="none"/>
          <w:lang w:eastAsia="zh-CN"/>
        </w:rPr>
        <w:t>（八）合同期内乙方因食品安全卫生问题被相关行政主管部门处罚，甲方有权解除合同，</w:t>
      </w:r>
      <w:r>
        <w:rPr>
          <w:rFonts w:hint="eastAsia" w:cs="宋体"/>
          <w:color w:val="auto"/>
          <w:highlight w:val="none"/>
          <w:lang w:val="en-US" w:eastAsia="zh-CN"/>
        </w:rPr>
        <w:t>乙方投标保证金不予退还。</w:t>
      </w:r>
    </w:p>
    <w:p>
      <w:pPr>
        <w:pStyle w:val="14"/>
        <w:snapToGrid w:val="0"/>
        <w:spacing w:line="440" w:lineRule="exact"/>
        <w:ind w:firstLine="562" w:firstLineChars="200"/>
        <w:jc w:val="left"/>
        <w:rPr>
          <w:rFonts w:cs="宋体"/>
          <w:b/>
          <w:bCs/>
          <w:color w:val="auto"/>
          <w:highlight w:val="none"/>
        </w:rPr>
      </w:pPr>
      <w:r>
        <w:rPr>
          <w:rFonts w:hint="eastAsia" w:cs="宋体"/>
          <w:b/>
          <w:bCs/>
          <w:color w:val="auto"/>
          <w:highlight w:val="none"/>
        </w:rPr>
        <w:t>八、履约保证金</w:t>
      </w:r>
    </w:p>
    <w:p>
      <w:pPr>
        <w:pStyle w:val="14"/>
        <w:snapToGrid w:val="0"/>
        <w:spacing w:line="440" w:lineRule="exact"/>
        <w:ind w:firstLine="560" w:firstLineChars="200"/>
        <w:jc w:val="left"/>
        <w:rPr>
          <w:rFonts w:cs="宋体"/>
          <w:color w:val="auto"/>
        </w:rPr>
      </w:pPr>
      <w:r>
        <w:rPr>
          <w:rFonts w:hint="eastAsia" w:cs="宋体"/>
          <w:color w:val="auto"/>
        </w:rPr>
        <w:t xml:space="preserve">（一）缴纳                                                             </w:t>
      </w:r>
    </w:p>
    <w:p>
      <w:pPr>
        <w:pStyle w:val="14"/>
        <w:snapToGrid w:val="0"/>
        <w:spacing w:line="440" w:lineRule="exact"/>
        <w:ind w:firstLine="560" w:firstLineChars="200"/>
        <w:jc w:val="left"/>
        <w:rPr>
          <w:rFonts w:cs="宋体"/>
          <w:color w:val="auto"/>
        </w:rPr>
      </w:pPr>
      <w:r>
        <w:rPr>
          <w:rFonts w:hint="eastAsia" w:cs="宋体"/>
          <w:color w:val="auto"/>
        </w:rPr>
        <w:t>中标单位应于接到中标通知书后的7日内向招标人指定账户打入</w:t>
      </w:r>
      <w:r>
        <w:rPr>
          <w:rFonts w:hint="eastAsia" w:cs="宋体"/>
          <w:color w:val="auto"/>
          <w:lang w:val="en-US" w:eastAsia="zh-CN"/>
        </w:rPr>
        <w:t>3.5</w:t>
      </w:r>
      <w:r>
        <w:rPr>
          <w:rFonts w:hint="eastAsia" w:cs="宋体"/>
          <w:color w:val="auto"/>
        </w:rPr>
        <w:t>万元作为履约保证金。</w:t>
      </w:r>
    </w:p>
    <w:p>
      <w:pPr>
        <w:pStyle w:val="14"/>
        <w:snapToGrid w:val="0"/>
        <w:spacing w:line="440" w:lineRule="exact"/>
        <w:ind w:firstLine="560" w:firstLineChars="200"/>
        <w:jc w:val="left"/>
        <w:rPr>
          <w:rFonts w:cs="宋体"/>
          <w:color w:val="auto"/>
        </w:rPr>
      </w:pPr>
      <w:r>
        <w:rPr>
          <w:rFonts w:hint="eastAsia" w:cs="宋体"/>
          <w:color w:val="auto"/>
        </w:rPr>
        <w:t>（二）退还</w:t>
      </w:r>
    </w:p>
    <w:p>
      <w:pPr>
        <w:pStyle w:val="14"/>
        <w:snapToGrid w:val="0"/>
        <w:spacing w:line="440" w:lineRule="exact"/>
        <w:ind w:firstLine="560" w:firstLineChars="200"/>
        <w:jc w:val="left"/>
        <w:rPr>
          <w:rFonts w:cs="宋体"/>
          <w:color w:val="auto"/>
        </w:rPr>
      </w:pPr>
      <w:r>
        <w:rPr>
          <w:rFonts w:hint="eastAsia" w:cs="宋体"/>
          <w:color w:val="auto"/>
        </w:rPr>
        <w:t>合同期满后，综合评价履约情况，无相关问题后在一个月内无息返还。</w:t>
      </w:r>
    </w:p>
    <w:p>
      <w:pPr>
        <w:pStyle w:val="14"/>
        <w:snapToGrid w:val="0"/>
        <w:spacing w:line="440" w:lineRule="exact"/>
        <w:ind w:firstLine="602" w:firstLineChars="200"/>
        <w:jc w:val="left"/>
        <w:rPr>
          <w:rFonts w:ascii="华文仿宋" w:hAnsi="华文仿宋" w:cs="宋体"/>
          <w:b/>
          <w:bCs/>
          <w:color w:val="auto"/>
          <w:sz w:val="30"/>
          <w:szCs w:val="30"/>
        </w:rPr>
      </w:pPr>
      <w:r>
        <w:rPr>
          <w:rFonts w:hint="eastAsia" w:ascii="华文仿宋" w:hAnsi="华文仿宋" w:cs="宋体"/>
          <w:b/>
          <w:bCs/>
          <w:color w:val="auto"/>
          <w:sz w:val="30"/>
          <w:szCs w:val="30"/>
        </w:rPr>
        <w:t>九、解决纠纷方式</w:t>
      </w:r>
    </w:p>
    <w:p>
      <w:pPr>
        <w:pStyle w:val="14"/>
        <w:snapToGrid w:val="0"/>
        <w:spacing w:line="440" w:lineRule="exact"/>
        <w:ind w:firstLine="560" w:firstLineChars="200"/>
        <w:jc w:val="left"/>
        <w:rPr>
          <w:rFonts w:ascii="华文仿宋" w:hAnsi="华文仿宋" w:cs="宋体"/>
          <w:color w:val="auto"/>
        </w:rPr>
      </w:pPr>
      <w:r>
        <w:rPr>
          <w:rFonts w:hint="eastAsia" w:ascii="华文仿宋" w:hAnsi="华文仿宋" w:cs="宋体"/>
          <w:color w:val="auto"/>
        </w:rPr>
        <w:t>本合同在履行过程中发生的争议，由双方当事人协商解决，协商不成的依法向招标人住所地人民法院提起诉讼。</w:t>
      </w:r>
    </w:p>
    <w:p>
      <w:pPr>
        <w:pStyle w:val="3"/>
        <w:spacing w:line="500" w:lineRule="exact"/>
        <w:ind w:left="0"/>
        <w:rPr>
          <w:rFonts w:ascii="华文仿宋" w:hAnsi="华文仿宋" w:eastAsia="宋体"/>
          <w:b/>
          <w:color w:val="auto"/>
          <w:sz w:val="36"/>
          <w:szCs w:val="36"/>
        </w:rPr>
      </w:pPr>
    </w:p>
    <w:p>
      <w:pPr>
        <w:snapToGrid w:val="0"/>
        <w:spacing w:line="360" w:lineRule="auto"/>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附件（一）</w:t>
      </w:r>
    </w:p>
    <w:p>
      <w:pPr>
        <w:snapToGrid w:val="0"/>
        <w:spacing w:line="360" w:lineRule="auto"/>
        <w:ind w:firstLine="562" w:firstLineChars="200"/>
        <w:jc w:val="center"/>
        <w:rPr>
          <w:rFonts w:ascii="宋体" w:hAnsi="Calibri" w:eastAsia="宋体" w:cs="Times New Roman"/>
          <w:b/>
          <w:bCs/>
          <w:color w:val="auto"/>
          <w:sz w:val="28"/>
          <w:szCs w:val="28"/>
        </w:rPr>
      </w:pPr>
      <w:r>
        <w:rPr>
          <w:rFonts w:hint="eastAsia" w:ascii="宋体" w:hAnsi="宋体" w:eastAsia="宋体" w:cs="宋体"/>
          <w:b/>
          <w:bCs/>
          <w:color w:val="auto"/>
          <w:sz w:val="28"/>
          <w:szCs w:val="28"/>
        </w:rPr>
        <w:t>投标报价函</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安徽相王医疗健康股份有限公司：</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我们已全面研究了“安徽相王医疗健康股份有限公司西区早餐供应服务招标文件”，并熟知招标文件的各项规定，我方同意按招标文件规定的全部条件投标。投标报价如下：</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投标报价：人民币元（价款大写）</w:t>
      </w:r>
    </w:p>
    <w:p>
      <w:pPr>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我方一旦中标，将于收到中标通知书后的15个工作日内与贵方签订合同。如逾期不派代表签约。贵单位有权没收投标保证金，并视为我方自动放弃中标资格。</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我方理解，如我方未中标，贵方有权不作任何解释。</w:t>
      </w:r>
    </w:p>
    <w:p>
      <w:pPr>
        <w:snapToGrid w:val="0"/>
        <w:spacing w:line="360" w:lineRule="auto"/>
        <w:ind w:firstLine="560" w:firstLineChars="200"/>
        <w:jc w:val="left"/>
        <w:rPr>
          <w:rFonts w:ascii="Calibri" w:hAnsi="Calibri" w:eastAsia="宋体" w:cs="宋体"/>
          <w:color w:val="auto"/>
          <w:sz w:val="28"/>
          <w:szCs w:val="28"/>
        </w:rPr>
      </w:pPr>
      <w:r>
        <w:rPr>
          <w:rFonts w:hint="eastAsia" w:ascii="Calibri" w:hAnsi="Calibri" w:eastAsia="宋体" w:cs="宋体"/>
          <w:color w:val="auto"/>
          <w:sz w:val="28"/>
          <w:szCs w:val="28"/>
        </w:rPr>
        <w:t>本投标书在开标后的</w:t>
      </w:r>
      <w:r>
        <w:rPr>
          <w:rFonts w:ascii="Calibri" w:hAnsi="Calibri" w:eastAsia="宋体" w:cs="宋体"/>
          <w:color w:val="auto"/>
          <w:sz w:val="28"/>
          <w:szCs w:val="28"/>
        </w:rPr>
        <w:t>30</w:t>
      </w:r>
      <w:r>
        <w:rPr>
          <w:rFonts w:hint="eastAsia" w:ascii="Calibri" w:hAnsi="Calibri" w:eastAsia="宋体" w:cs="宋体"/>
          <w:color w:val="auto"/>
          <w:sz w:val="28"/>
          <w:szCs w:val="28"/>
        </w:rPr>
        <w:t>日内有效，在合同未签订前，</w:t>
      </w:r>
      <w:r>
        <w:rPr>
          <w:rFonts w:hint="eastAsia" w:ascii="宋体" w:hAnsi="宋体" w:eastAsia="宋体" w:cs="Times New Roman"/>
          <w:color w:val="auto"/>
          <w:sz w:val="28"/>
          <w:szCs w:val="28"/>
        </w:rPr>
        <w:t>本投标文件(与招标文件有抵触的内容除外)连同你单位的中标通知书</w:t>
      </w:r>
      <w:r>
        <w:rPr>
          <w:rFonts w:hint="eastAsia" w:ascii="Calibri" w:hAnsi="Calibri" w:eastAsia="宋体" w:cs="宋体"/>
          <w:color w:val="auto"/>
          <w:sz w:val="28"/>
          <w:szCs w:val="28"/>
        </w:rPr>
        <w:t>将构成约束贵我双方的协议。</w:t>
      </w:r>
    </w:p>
    <w:p>
      <w:pPr>
        <w:spacing w:line="500" w:lineRule="exact"/>
        <w:rPr>
          <w:rFonts w:ascii="宋体" w:hAnsi="Calibri" w:eastAsia="仿宋_GB2312" w:cs="Times New Roman"/>
          <w:color w:val="auto"/>
          <w:sz w:val="28"/>
          <w:szCs w:val="28"/>
        </w:rPr>
      </w:pPr>
      <w:r>
        <w:rPr>
          <w:rFonts w:hint="eastAsia" w:ascii="宋体" w:hAnsi="宋体" w:eastAsia="宋体" w:cs="宋体"/>
          <w:color w:val="auto"/>
          <w:sz w:val="28"/>
          <w:szCs w:val="28"/>
        </w:rPr>
        <w:t>投标人(公章)：法定代表人(签字) ：</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联系人：</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地    址：邮  编</w:t>
      </w:r>
      <w:r>
        <w:rPr>
          <w:rFonts w:hint="eastAsia" w:ascii="宋体" w:hAnsi="宋体" w:eastAsia="仿宋_GB2312" w:cs="Times New Roman"/>
          <w:color w:val="auto"/>
          <w:sz w:val="28"/>
          <w:szCs w:val="28"/>
        </w:rPr>
        <w:t>：</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电    话：传  真：</w:t>
      </w:r>
    </w:p>
    <w:p>
      <w:pPr>
        <w:spacing w:line="500" w:lineRule="exact"/>
        <w:rPr>
          <w:rFonts w:ascii="宋体" w:hAnsi="宋体" w:eastAsia="仿宋_GB2312" w:cs="Times New Roman"/>
          <w:color w:val="auto"/>
          <w:sz w:val="28"/>
          <w:szCs w:val="28"/>
        </w:rPr>
      </w:pPr>
      <w:r>
        <w:rPr>
          <w:rFonts w:hint="eastAsia" w:ascii="宋体" w:hAnsi="宋体" w:eastAsia="宋体" w:cs="宋体"/>
          <w:color w:val="auto"/>
          <w:sz w:val="28"/>
          <w:szCs w:val="28"/>
        </w:rPr>
        <w:t>开户银行： 帐  号：</w:t>
      </w:r>
    </w:p>
    <w:p>
      <w:pPr>
        <w:autoSpaceDE w:val="0"/>
        <w:autoSpaceDN w:val="0"/>
        <w:adjustRightInd w:val="0"/>
        <w:snapToGrid w:val="0"/>
        <w:spacing w:line="360" w:lineRule="auto"/>
        <w:rPr>
          <w:rFonts w:ascii="宋体" w:hAnsi="宋体" w:eastAsia="宋体" w:cs="Times New Roman"/>
          <w:color w:val="auto"/>
          <w:sz w:val="28"/>
          <w:szCs w:val="28"/>
        </w:rPr>
      </w:pPr>
      <w:r>
        <w:rPr>
          <w:rFonts w:hint="eastAsia" w:ascii="宋体" w:hAnsi="宋体" w:eastAsia="宋体" w:cs="Times New Roman"/>
          <w:color w:val="auto"/>
          <w:sz w:val="28"/>
          <w:szCs w:val="28"/>
        </w:rPr>
        <w:t>公司电子邮箱：</w:t>
      </w:r>
    </w:p>
    <w:p>
      <w:pPr>
        <w:autoSpaceDE w:val="0"/>
        <w:autoSpaceDN w:val="0"/>
        <w:adjustRightInd w:val="0"/>
        <w:snapToGrid w:val="0"/>
        <w:spacing w:line="360" w:lineRule="auto"/>
        <w:rPr>
          <w:rFonts w:ascii="宋体" w:hAnsi="宋体" w:eastAsia="宋体" w:cs="宋体"/>
          <w:b/>
          <w:bCs/>
          <w:color w:val="auto"/>
          <w:sz w:val="28"/>
          <w:szCs w:val="28"/>
        </w:rPr>
      </w:pPr>
      <w:r>
        <w:rPr>
          <w:rFonts w:hint="eastAsia" w:ascii="宋体" w:hAnsi="宋体" w:eastAsia="宋体" w:cs="宋体"/>
          <w:color w:val="auto"/>
          <w:sz w:val="28"/>
          <w:szCs w:val="28"/>
        </w:rPr>
        <w:t>日  期</w:t>
      </w:r>
      <w:r>
        <w:rPr>
          <w:rFonts w:hint="eastAsia" w:ascii="宋体" w:hAnsi="宋体" w:eastAsia="宋体" w:cs="Times New Roman"/>
          <w:color w:val="auto"/>
          <w:sz w:val="28"/>
          <w:szCs w:val="28"/>
        </w:rPr>
        <w:t>：年月日</w:t>
      </w:r>
    </w:p>
    <w:p>
      <w:pPr>
        <w:snapToGrid w:val="0"/>
        <w:spacing w:line="360" w:lineRule="auto"/>
        <w:ind w:firstLine="562" w:firstLineChars="200"/>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Calibri" w:eastAsia="宋体" w:cs="Times New Roman"/>
          <w:b/>
          <w:bCs/>
          <w:color w:val="auto"/>
          <w:sz w:val="28"/>
          <w:szCs w:val="28"/>
        </w:rPr>
      </w:pPr>
      <w:r>
        <w:rPr>
          <w:rFonts w:hint="eastAsia" w:ascii="宋体" w:hAnsi="宋体" w:eastAsia="宋体" w:cs="宋体"/>
          <w:b/>
          <w:bCs/>
          <w:color w:val="auto"/>
          <w:sz w:val="28"/>
          <w:szCs w:val="28"/>
        </w:rPr>
        <w:t>附件（二）</w:t>
      </w:r>
    </w:p>
    <w:p>
      <w:pPr>
        <w:ind w:left="945" w:firstLine="562" w:firstLineChars="200"/>
        <w:jc w:val="center"/>
        <w:rPr>
          <w:rFonts w:ascii="Calibri" w:hAnsi="Calibri" w:eastAsia="宋体" w:cs="Times New Roman"/>
          <w:color w:val="auto"/>
          <w:sz w:val="28"/>
          <w:szCs w:val="28"/>
        </w:rPr>
      </w:pPr>
      <w:r>
        <w:rPr>
          <w:rFonts w:hint="eastAsia" w:ascii="Calibri" w:hAnsi="Calibri" w:eastAsia="宋体" w:cs="Times New Roman"/>
          <w:b/>
          <w:bCs/>
          <w:color w:val="auto"/>
          <w:sz w:val="28"/>
          <w:szCs w:val="28"/>
        </w:rPr>
        <w:t>投标报价表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841"/>
        <w:gridCol w:w="1691"/>
        <w:gridCol w:w="1977"/>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2"/>
              <w:ind w:left="0" w:firstLine="0"/>
              <w:jc w:val="center"/>
              <w:rPr>
                <w:color w:val="auto"/>
                <w:sz w:val="28"/>
                <w:szCs w:val="28"/>
              </w:rPr>
            </w:pPr>
            <w:r>
              <w:rPr>
                <w:rFonts w:hint="eastAsia"/>
                <w:color w:val="auto"/>
                <w:sz w:val="28"/>
                <w:szCs w:val="28"/>
              </w:rPr>
              <w:t>序号</w:t>
            </w:r>
          </w:p>
        </w:tc>
        <w:tc>
          <w:tcPr>
            <w:tcW w:w="1841" w:type="dxa"/>
          </w:tcPr>
          <w:p>
            <w:pPr>
              <w:pStyle w:val="2"/>
              <w:ind w:left="0" w:firstLine="0"/>
              <w:jc w:val="center"/>
              <w:rPr>
                <w:color w:val="auto"/>
                <w:sz w:val="28"/>
                <w:szCs w:val="28"/>
              </w:rPr>
            </w:pPr>
            <w:r>
              <w:rPr>
                <w:rFonts w:hint="eastAsia"/>
                <w:color w:val="auto"/>
                <w:sz w:val="28"/>
                <w:szCs w:val="28"/>
              </w:rPr>
              <w:t>数量（万）</w:t>
            </w:r>
          </w:p>
        </w:tc>
        <w:tc>
          <w:tcPr>
            <w:tcW w:w="1691" w:type="dxa"/>
          </w:tcPr>
          <w:p>
            <w:pPr>
              <w:pStyle w:val="2"/>
              <w:ind w:left="0" w:firstLine="0"/>
              <w:jc w:val="center"/>
              <w:rPr>
                <w:color w:val="auto"/>
                <w:sz w:val="28"/>
                <w:szCs w:val="28"/>
              </w:rPr>
            </w:pPr>
            <w:r>
              <w:rPr>
                <w:rFonts w:hint="eastAsia"/>
                <w:color w:val="auto"/>
                <w:sz w:val="28"/>
                <w:szCs w:val="28"/>
              </w:rPr>
              <w:t>单位</w:t>
            </w:r>
          </w:p>
        </w:tc>
        <w:tc>
          <w:tcPr>
            <w:tcW w:w="1977" w:type="dxa"/>
          </w:tcPr>
          <w:p>
            <w:pPr>
              <w:pStyle w:val="2"/>
              <w:ind w:left="0" w:firstLine="0"/>
              <w:jc w:val="center"/>
              <w:rPr>
                <w:color w:val="auto"/>
                <w:sz w:val="28"/>
                <w:szCs w:val="28"/>
              </w:rPr>
            </w:pPr>
            <w:r>
              <w:rPr>
                <w:rFonts w:hint="eastAsia"/>
                <w:color w:val="auto"/>
                <w:sz w:val="28"/>
                <w:szCs w:val="28"/>
              </w:rPr>
              <w:t>投标单价（元）</w:t>
            </w:r>
          </w:p>
        </w:tc>
        <w:tc>
          <w:tcPr>
            <w:tcW w:w="2256" w:type="dxa"/>
          </w:tcPr>
          <w:p>
            <w:pPr>
              <w:pStyle w:val="2"/>
              <w:ind w:left="0" w:firstLine="0"/>
              <w:jc w:val="center"/>
              <w:rPr>
                <w:color w:val="auto"/>
                <w:sz w:val="28"/>
                <w:szCs w:val="28"/>
              </w:rPr>
            </w:pPr>
            <w:r>
              <w:rPr>
                <w:rFonts w:hint="eastAsia"/>
                <w:color w:val="auto"/>
                <w:sz w:val="28"/>
                <w:szCs w:val="28"/>
              </w:rPr>
              <w:t>投标合价（元）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pStyle w:val="2"/>
              <w:ind w:left="0" w:firstLine="0"/>
              <w:jc w:val="center"/>
              <w:rPr>
                <w:color w:val="auto"/>
                <w:sz w:val="28"/>
                <w:szCs w:val="28"/>
              </w:rPr>
            </w:pPr>
            <w:r>
              <w:rPr>
                <w:rFonts w:hint="eastAsia"/>
                <w:color w:val="auto"/>
                <w:sz w:val="28"/>
                <w:szCs w:val="28"/>
              </w:rPr>
              <w:t>1</w:t>
            </w:r>
          </w:p>
        </w:tc>
        <w:tc>
          <w:tcPr>
            <w:tcW w:w="1841" w:type="dxa"/>
          </w:tcPr>
          <w:p>
            <w:pPr>
              <w:pStyle w:val="2"/>
              <w:ind w:left="0" w:firstLine="0"/>
              <w:jc w:val="center"/>
              <w:rPr>
                <w:color w:val="auto"/>
                <w:sz w:val="28"/>
                <w:szCs w:val="28"/>
              </w:rPr>
            </w:pPr>
            <w:r>
              <w:rPr>
                <w:rFonts w:hint="eastAsia"/>
                <w:color w:val="auto"/>
                <w:sz w:val="28"/>
                <w:szCs w:val="28"/>
              </w:rPr>
              <w:t>3.5</w:t>
            </w:r>
          </w:p>
        </w:tc>
        <w:tc>
          <w:tcPr>
            <w:tcW w:w="1691" w:type="dxa"/>
          </w:tcPr>
          <w:p>
            <w:pPr>
              <w:pStyle w:val="2"/>
              <w:ind w:left="0" w:firstLine="0"/>
              <w:jc w:val="center"/>
              <w:rPr>
                <w:color w:val="auto"/>
                <w:sz w:val="28"/>
                <w:szCs w:val="28"/>
              </w:rPr>
            </w:pPr>
            <w:r>
              <w:rPr>
                <w:rFonts w:hint="eastAsia"/>
                <w:color w:val="auto"/>
                <w:sz w:val="28"/>
                <w:szCs w:val="28"/>
              </w:rPr>
              <w:t>人次</w:t>
            </w:r>
          </w:p>
        </w:tc>
        <w:tc>
          <w:tcPr>
            <w:tcW w:w="1977" w:type="dxa"/>
          </w:tcPr>
          <w:p>
            <w:pPr>
              <w:pStyle w:val="2"/>
              <w:ind w:left="0" w:firstLine="0"/>
              <w:jc w:val="center"/>
              <w:rPr>
                <w:color w:val="auto"/>
                <w:sz w:val="28"/>
                <w:szCs w:val="28"/>
              </w:rPr>
            </w:pPr>
          </w:p>
        </w:tc>
        <w:tc>
          <w:tcPr>
            <w:tcW w:w="2256" w:type="dxa"/>
          </w:tcPr>
          <w:p>
            <w:pPr>
              <w:pStyle w:val="2"/>
              <w:ind w:left="0" w:firstLine="0"/>
              <w:jc w:val="center"/>
              <w:rPr>
                <w:color w:val="auto"/>
                <w:sz w:val="28"/>
                <w:szCs w:val="28"/>
              </w:rPr>
            </w:pPr>
          </w:p>
        </w:tc>
      </w:tr>
    </w:tbl>
    <w:p>
      <w:pPr>
        <w:spacing w:line="360" w:lineRule="auto"/>
        <w:rPr>
          <w:rFonts w:ascii="Calibri" w:hAnsi="Calibri" w:eastAsia="宋体" w:cs="Times New Roman"/>
          <w:color w:val="auto"/>
          <w:sz w:val="28"/>
          <w:szCs w:val="28"/>
        </w:rPr>
      </w:pPr>
    </w:p>
    <w:p>
      <w:pPr>
        <w:pStyle w:val="2"/>
        <w:rPr>
          <w:rFonts w:ascii="Calibri" w:hAnsi="Calibri" w:eastAsia="宋体"/>
          <w:color w:val="auto"/>
          <w:sz w:val="28"/>
          <w:szCs w:val="28"/>
        </w:rPr>
      </w:pPr>
    </w:p>
    <w:p>
      <w:pPr>
        <w:pStyle w:val="2"/>
        <w:rPr>
          <w:rFonts w:ascii="Calibri" w:hAnsi="Calibri" w:eastAsia="宋体"/>
          <w:color w:val="auto"/>
          <w:sz w:val="28"/>
          <w:szCs w:val="28"/>
        </w:rPr>
      </w:pPr>
    </w:p>
    <w:p>
      <w:pPr>
        <w:spacing w:line="360" w:lineRule="auto"/>
        <w:rPr>
          <w:rFonts w:ascii="Calibri" w:hAnsi="Calibri" w:eastAsia="宋体" w:cs="Times New Roman"/>
          <w:color w:val="auto"/>
          <w:sz w:val="28"/>
          <w:szCs w:val="28"/>
        </w:rPr>
      </w:pPr>
      <w:r>
        <w:rPr>
          <w:rFonts w:hint="eastAsia" w:ascii="Calibri" w:hAnsi="Calibri" w:eastAsia="宋体" w:cs="Times New Roman"/>
          <w:color w:val="auto"/>
          <w:sz w:val="28"/>
          <w:szCs w:val="28"/>
        </w:rPr>
        <w:t>投标人：（盖章）授权代表：（签字）</w:t>
      </w:r>
    </w:p>
    <w:p>
      <w:pPr>
        <w:spacing w:line="360" w:lineRule="auto"/>
        <w:ind w:firstLine="560" w:firstLineChars="200"/>
        <w:rPr>
          <w:rFonts w:ascii="宋体" w:hAnsi="宋体" w:eastAsia="宋体" w:cs="宋体"/>
          <w:b/>
          <w:bCs/>
          <w:color w:val="auto"/>
          <w:sz w:val="28"/>
          <w:szCs w:val="28"/>
        </w:rPr>
      </w:pPr>
      <w:r>
        <w:rPr>
          <w:rFonts w:hint="eastAsia" w:ascii="Calibri" w:hAnsi="Calibri" w:eastAsia="宋体" w:cs="Times New Roman"/>
          <w:color w:val="auto"/>
          <w:sz w:val="28"/>
          <w:szCs w:val="28"/>
        </w:rPr>
        <w:t>年月日</w:t>
      </w: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adjustRightInd w:val="0"/>
        <w:snapToGrid w:val="0"/>
        <w:spacing w:line="288" w:lineRule="auto"/>
        <w:ind w:firstLine="562" w:firstLineChars="200"/>
        <w:jc w:val="left"/>
        <w:rPr>
          <w:rFonts w:ascii="Calibri" w:hAnsi="Calibri" w:eastAsia="宋体" w:cs="Times New Roman"/>
          <w:b/>
          <w:bCs/>
          <w:color w:val="auto"/>
          <w:sz w:val="28"/>
          <w:szCs w:val="28"/>
        </w:rPr>
      </w:pPr>
      <w:r>
        <w:rPr>
          <w:rFonts w:hint="eastAsia" w:ascii="Calibri" w:hAnsi="Calibri" w:eastAsia="宋体" w:cs="Times New Roman"/>
          <w:b/>
          <w:bCs/>
          <w:color w:val="auto"/>
          <w:sz w:val="28"/>
          <w:szCs w:val="28"/>
        </w:rPr>
        <w:t>附件（三）</w:t>
      </w:r>
    </w:p>
    <w:p>
      <w:pPr>
        <w:spacing w:line="500" w:lineRule="exact"/>
        <w:ind w:firstLine="562" w:firstLineChars="20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法定代表人身份证明书</w:t>
      </w:r>
    </w:p>
    <w:p>
      <w:pPr>
        <w:spacing w:line="500" w:lineRule="exact"/>
        <w:ind w:firstLine="562" w:firstLineChars="200"/>
        <w:rPr>
          <w:rFonts w:ascii="宋体" w:hAnsi="宋体" w:eastAsia="宋体" w:cs="Times New Roman"/>
          <w:b/>
          <w:color w:val="auto"/>
          <w:sz w:val="28"/>
          <w:szCs w:val="28"/>
        </w:rPr>
      </w:pP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单位名称：</w:t>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单位性质：</w:t>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地    址：</w:t>
      </w:r>
      <w:r>
        <w:rPr>
          <w:rFonts w:hint="eastAsia" w:ascii="宋体" w:hAnsi="Calibri" w:eastAsia="宋体" w:cs="Times New Roman"/>
          <w:color w:val="auto"/>
          <w:sz w:val="28"/>
          <w:szCs w:val="28"/>
          <w:u w:val="single"/>
        </w:rPr>
        <w:tab/>
      </w:r>
      <w:r>
        <w:rPr>
          <w:rFonts w:hint="eastAsia" w:ascii="宋体" w:hAnsi="Calibri"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r>
        <w:rPr>
          <w:rFonts w:hint="eastAsia" w:ascii="宋体" w:hAnsi="宋体" w:eastAsia="宋体" w:cs="Times New Roman"/>
          <w:color w:val="auto"/>
          <w:sz w:val="28"/>
          <w:szCs w:val="28"/>
          <w:u w:val="single"/>
        </w:rPr>
        <w:tab/>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成立时间： 年 月 日</w:t>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经营期限：</w:t>
      </w:r>
      <w:r>
        <w:rPr>
          <w:rFonts w:hint="eastAsia" w:ascii="宋体" w:hAnsi="Calibri" w:eastAsia="宋体" w:cs="Times New Roman"/>
          <w:color w:val="auto"/>
          <w:sz w:val="28"/>
          <w:szCs w:val="28"/>
        </w:rPr>
        <w:tab/>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姓    名：   性别：</w:t>
      </w:r>
    </w:p>
    <w:p>
      <w:pPr>
        <w:spacing w:beforeLines="20" w:afterLines="20" w:line="500" w:lineRule="exact"/>
        <w:ind w:firstLine="560" w:firstLineChars="200"/>
        <w:rPr>
          <w:rFonts w:ascii="宋体" w:hAnsi="Calibri" w:eastAsia="宋体" w:cs="Times New Roman"/>
          <w:color w:val="auto"/>
          <w:sz w:val="28"/>
          <w:szCs w:val="28"/>
          <w:u w:val="single"/>
        </w:rPr>
      </w:pPr>
      <w:r>
        <w:rPr>
          <w:rFonts w:hint="eastAsia" w:ascii="宋体" w:hAnsi="宋体" w:eastAsia="宋体" w:cs="Times New Roman"/>
          <w:color w:val="auto"/>
          <w:sz w:val="28"/>
          <w:szCs w:val="28"/>
        </w:rPr>
        <w:t>年    龄：   职务：</w:t>
      </w:r>
      <w:r>
        <w:rPr>
          <w:rFonts w:hint="eastAsia" w:ascii="宋体" w:hAnsi="Calibri" w:eastAsia="宋体" w:cs="Times New Roman"/>
          <w:color w:val="auto"/>
          <w:sz w:val="28"/>
          <w:szCs w:val="28"/>
        </w:rPr>
        <w:tab/>
      </w:r>
    </w:p>
    <w:p>
      <w:pPr>
        <w:spacing w:beforeLines="20" w:afterLines="20" w:line="500" w:lineRule="exact"/>
        <w:ind w:firstLine="560" w:firstLineChars="200"/>
        <w:rPr>
          <w:rFonts w:ascii="宋体" w:hAnsi="Calibri" w:eastAsia="宋体" w:cs="Times New Roman"/>
          <w:color w:val="auto"/>
          <w:sz w:val="28"/>
          <w:szCs w:val="28"/>
        </w:rPr>
      </w:pPr>
      <w:r>
        <w:rPr>
          <w:rFonts w:hint="eastAsia" w:ascii="宋体" w:hAnsi="宋体" w:eastAsia="宋体" w:cs="Times New Roman"/>
          <w:color w:val="auto"/>
          <w:sz w:val="28"/>
          <w:szCs w:val="28"/>
        </w:rPr>
        <w:t xml:space="preserve">系  </w:t>
      </w:r>
      <w:r>
        <w:rPr>
          <w:rFonts w:hint="eastAsia" w:ascii="宋体" w:hAnsi="宋体" w:eastAsia="宋体" w:cs="Times New Roman"/>
          <w:color w:val="auto"/>
          <w:sz w:val="28"/>
          <w:szCs w:val="28"/>
          <w:u w:val="single"/>
        </w:rPr>
        <w:t xml:space="preserve">        （投标人单位名称）        </w:t>
      </w:r>
      <w:r>
        <w:rPr>
          <w:rFonts w:hint="eastAsia" w:ascii="宋体" w:hAnsi="宋体" w:eastAsia="宋体" w:cs="Times New Roman"/>
          <w:color w:val="auto"/>
          <w:sz w:val="28"/>
          <w:szCs w:val="28"/>
        </w:rPr>
        <w:t xml:space="preserve"> 的法定代表人。</w:t>
      </w:r>
    </w:p>
    <w:p>
      <w:pPr>
        <w:spacing w:beforeLines="20" w:afterLines="20" w:line="500" w:lineRule="exact"/>
        <w:ind w:firstLine="560" w:firstLineChars="200"/>
        <w:rPr>
          <w:rFonts w:ascii="宋体" w:hAnsi="Calibri" w:eastAsia="宋体" w:cs="Times New Roman"/>
          <w:color w:val="auto"/>
          <w:sz w:val="28"/>
          <w:szCs w:val="28"/>
        </w:rPr>
      </w:pPr>
    </w:p>
    <w:p>
      <w:pPr>
        <w:spacing w:beforeLines="20" w:afterLines="20" w:line="500" w:lineRule="exact"/>
        <w:ind w:left="1260" w:firstLine="560" w:firstLineChars="200"/>
        <w:rPr>
          <w:rFonts w:ascii="宋体" w:hAnsi="宋体" w:eastAsia="宋体" w:cs="Times New Roman"/>
          <w:color w:val="auto"/>
          <w:sz w:val="28"/>
          <w:szCs w:val="28"/>
        </w:rPr>
      </w:pPr>
      <w:r>
        <w:rPr>
          <w:rFonts w:hint="eastAsia" w:ascii="宋体" w:hAnsi="宋体" w:eastAsia="宋体" w:cs="Times New Roman"/>
          <w:color w:val="auto"/>
          <w:sz w:val="28"/>
          <w:szCs w:val="28"/>
        </w:rPr>
        <w:t>特此证明。</w:t>
      </w:r>
    </w:p>
    <w:p>
      <w:pPr>
        <w:tabs>
          <w:tab w:val="left" w:pos="720"/>
          <w:tab w:val="left" w:pos="900"/>
        </w:tabs>
        <w:spacing w:beforeLines="20" w:afterLines="20" w:line="500" w:lineRule="exact"/>
        <w:ind w:firstLine="560" w:firstLineChars="200"/>
        <w:rPr>
          <w:rFonts w:ascii="宋体" w:hAnsi="Calibri" w:eastAsia="宋体" w:cs="Times New Roman"/>
          <w:color w:val="auto"/>
          <w:sz w:val="28"/>
          <w:szCs w:val="28"/>
        </w:rPr>
      </w:pPr>
    </w:p>
    <w:p>
      <w:pPr>
        <w:tabs>
          <w:tab w:val="left" w:pos="720"/>
          <w:tab w:val="left" w:pos="900"/>
        </w:tabs>
        <w:spacing w:beforeLines="20" w:afterLines="20" w:line="500" w:lineRule="exact"/>
        <w:ind w:firstLine="560" w:firstLineChars="200"/>
        <w:jc w:val="right"/>
        <w:rPr>
          <w:rFonts w:ascii="宋体" w:hAnsi="Calibri" w:eastAsia="宋体" w:cs="Times New Roman"/>
          <w:color w:val="auto"/>
          <w:sz w:val="28"/>
          <w:szCs w:val="28"/>
        </w:rPr>
      </w:pPr>
      <w:r>
        <w:rPr>
          <w:rFonts w:hint="eastAsia" w:ascii="宋体" w:hAnsi="宋体" w:eastAsia="宋体" w:cs="Times New Roman"/>
          <w:color w:val="auto"/>
          <w:sz w:val="28"/>
          <w:szCs w:val="28"/>
        </w:rPr>
        <w:t>投标人：</w:t>
      </w:r>
      <w:r>
        <w:rPr>
          <w:rFonts w:hint="eastAsia" w:ascii="宋体" w:hAnsi="宋体" w:eastAsia="宋体" w:cs="Times New Roman"/>
          <w:color w:val="auto"/>
          <w:sz w:val="28"/>
          <w:szCs w:val="28"/>
          <w:u w:val="single"/>
        </w:rPr>
        <w:t xml:space="preserve">             （盖公章）</w:t>
      </w:r>
    </w:p>
    <w:p>
      <w:pPr>
        <w:spacing w:beforeLines="20" w:afterLines="20" w:line="500" w:lineRule="exact"/>
        <w:ind w:firstLine="560" w:firstLineChars="200"/>
        <w:jc w:val="right"/>
        <w:rPr>
          <w:rFonts w:ascii="宋体" w:hAnsi="宋体" w:eastAsia="宋体" w:cs="Times New Roman"/>
          <w:color w:val="auto"/>
          <w:sz w:val="28"/>
          <w:szCs w:val="28"/>
        </w:rPr>
      </w:pPr>
      <w:r>
        <w:rPr>
          <w:rFonts w:hint="eastAsia" w:ascii="宋体" w:hAnsi="宋体" w:eastAsia="宋体" w:cs="Times New Roman"/>
          <w:color w:val="auto"/>
          <w:sz w:val="28"/>
          <w:szCs w:val="28"/>
        </w:rPr>
        <w:t>日  期：年月日</w:t>
      </w:r>
    </w:p>
    <w:p>
      <w:pPr>
        <w:spacing w:beforeLines="20" w:afterLines="20" w:line="500" w:lineRule="exact"/>
        <w:ind w:firstLine="560" w:firstLineChars="200"/>
        <w:jc w:val="right"/>
        <w:rPr>
          <w:rFonts w:ascii="宋体" w:hAnsi="宋体" w:eastAsia="宋体" w:cs="Times New Roman"/>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jc w:val="left"/>
        <w:rPr>
          <w:rFonts w:ascii="宋体" w:hAnsi="宋体" w:eastAsia="宋体" w:cs="宋体"/>
          <w:b/>
          <w:bCs/>
          <w:color w:val="auto"/>
          <w:sz w:val="28"/>
          <w:szCs w:val="28"/>
        </w:rPr>
      </w:pPr>
    </w:p>
    <w:p>
      <w:pPr>
        <w:snapToGrid w:val="0"/>
        <w:spacing w:line="360" w:lineRule="auto"/>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附件（四）</w:t>
      </w:r>
    </w:p>
    <w:p>
      <w:pPr>
        <w:spacing w:line="500" w:lineRule="exact"/>
        <w:ind w:firstLine="562" w:firstLineChars="20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法定代表人授权委托书</w:t>
      </w:r>
    </w:p>
    <w:p>
      <w:pPr>
        <w:spacing w:line="500" w:lineRule="exact"/>
        <w:ind w:left="630" w:firstLine="560" w:firstLineChars="200"/>
        <w:rPr>
          <w:rFonts w:ascii="宋体" w:hAnsi="宋体" w:eastAsia="宋体" w:cs="Times New Roman"/>
          <w:color w:val="auto"/>
          <w:sz w:val="28"/>
          <w:szCs w:val="28"/>
        </w:rPr>
      </w:pPr>
    </w:p>
    <w:p>
      <w:pPr>
        <w:spacing w:line="44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致：安徽相王医疗健康股份有限公司</w:t>
      </w:r>
    </w:p>
    <w:p>
      <w:pPr>
        <w:adjustRightInd w:val="0"/>
        <w:snapToGrid w:val="0"/>
        <w:spacing w:line="44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 xml:space="preserve">本授权委托书声明：我（姓名）系 </w:t>
      </w:r>
      <w:r>
        <w:rPr>
          <w:rFonts w:hint="eastAsia" w:ascii="宋体" w:hAnsi="宋体" w:eastAsia="宋体" w:cs="宋体"/>
          <w:color w:val="auto"/>
          <w:sz w:val="28"/>
          <w:szCs w:val="28"/>
          <w:u w:val="single"/>
        </w:rPr>
        <w:t>（投 标 人 名 称）</w:t>
      </w:r>
      <w:r>
        <w:rPr>
          <w:rFonts w:hint="eastAsia" w:ascii="宋体" w:hAnsi="宋体" w:eastAsia="宋体" w:cs="宋体"/>
          <w:color w:val="auto"/>
          <w:sz w:val="28"/>
          <w:szCs w:val="28"/>
        </w:rPr>
        <w:t xml:space="preserve">的法定代表人，现授权委托 </w:t>
      </w:r>
      <w:r>
        <w:rPr>
          <w:rFonts w:hint="eastAsia" w:ascii="宋体" w:hAnsi="宋体" w:eastAsia="宋体" w:cs="宋体"/>
          <w:color w:val="auto"/>
          <w:sz w:val="28"/>
          <w:szCs w:val="28"/>
          <w:u w:val="single"/>
        </w:rPr>
        <w:t xml:space="preserve">    （单位名称）</w:t>
      </w:r>
      <w:r>
        <w:rPr>
          <w:rFonts w:hint="eastAsia" w:ascii="宋体" w:hAnsi="宋体" w:eastAsia="宋体" w:cs="宋体"/>
          <w:color w:val="auto"/>
          <w:sz w:val="28"/>
          <w:szCs w:val="28"/>
        </w:rPr>
        <w:t xml:space="preserve">   的 </w:t>
      </w:r>
      <w:r>
        <w:rPr>
          <w:rFonts w:hint="eastAsia" w:ascii="宋体" w:hAnsi="宋体" w:eastAsia="宋体" w:cs="宋体"/>
          <w:color w:val="auto"/>
          <w:sz w:val="28"/>
          <w:szCs w:val="28"/>
          <w:u w:val="single"/>
        </w:rPr>
        <w:t xml:space="preserve">   （姓名） </w:t>
      </w:r>
      <w:r>
        <w:rPr>
          <w:rFonts w:hint="eastAsia" w:ascii="宋体" w:hAnsi="宋体" w:eastAsia="宋体" w:cs="宋体"/>
          <w:color w:val="auto"/>
          <w:sz w:val="28"/>
          <w:szCs w:val="28"/>
        </w:rPr>
        <w:t>为我公司的合法代理人，就（项目名称）的投标，以本公司的名义签署投标书，进行谈判、签署合同和处理与之有关的一切事宜。</w:t>
      </w:r>
    </w:p>
    <w:p>
      <w:pPr>
        <w:adjustRightInd w:val="0"/>
        <w:snapToGrid w:val="0"/>
        <w:spacing w:line="44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代理人无转委托权，特此委托。</w:t>
      </w:r>
    </w:p>
    <w:p>
      <w:pPr>
        <w:adjustRightInd w:val="0"/>
        <w:snapToGrid w:val="0"/>
        <w:spacing w:line="400" w:lineRule="exact"/>
        <w:ind w:firstLine="560" w:firstLineChars="200"/>
        <w:rPr>
          <w:rFonts w:ascii="宋体" w:hAnsi="Calibri" w:eastAsia="宋体" w:cs="宋体"/>
          <w:color w:val="auto"/>
          <w:sz w:val="28"/>
          <w:szCs w:val="28"/>
        </w:rPr>
      </w:pPr>
    </w:p>
    <w:p>
      <w:pPr>
        <w:adjustRightInd w:val="0"/>
        <w:snapToGrid w:val="0"/>
        <w:spacing w:line="400" w:lineRule="exact"/>
        <w:ind w:firstLine="560" w:firstLineChars="200"/>
        <w:rPr>
          <w:rFonts w:ascii="宋体" w:hAnsi="Calibri" w:eastAsia="宋体" w:cs="宋体"/>
          <w:color w:val="auto"/>
          <w:sz w:val="28"/>
          <w:szCs w:val="28"/>
          <w:u w:val="single"/>
        </w:rPr>
      </w:pPr>
      <w:r>
        <w:rPr>
          <w:rFonts w:hint="eastAsia" w:ascii="宋体" w:hAnsi="宋体" w:eastAsia="宋体" w:cs="宋体"/>
          <w:color w:val="auto"/>
          <w:sz w:val="28"/>
          <w:szCs w:val="28"/>
        </w:rPr>
        <w:t>代  理  人：</w:t>
      </w:r>
      <w:r>
        <w:rPr>
          <w:rFonts w:hint="eastAsia" w:ascii="宋体" w:hAnsi="宋体" w:eastAsia="宋体" w:cs="宋体"/>
          <w:color w:val="auto"/>
          <w:sz w:val="28"/>
          <w:szCs w:val="28"/>
          <w:u w:val="single"/>
        </w:rPr>
        <w:t xml:space="preserve">   （签字）   </w:t>
      </w:r>
      <w:r>
        <w:rPr>
          <w:rFonts w:hint="eastAsia" w:ascii="宋体" w:hAnsi="宋体" w:eastAsia="宋体" w:cs="宋体"/>
          <w:color w:val="auto"/>
          <w:sz w:val="28"/>
          <w:szCs w:val="28"/>
        </w:rPr>
        <w:t>性别 ：年龄：</w:t>
      </w:r>
    </w:p>
    <w:p>
      <w:pPr>
        <w:adjustRightInd w:val="0"/>
        <w:snapToGrid w:val="0"/>
        <w:spacing w:line="400" w:lineRule="exact"/>
        <w:ind w:firstLine="560" w:firstLineChars="200"/>
        <w:rPr>
          <w:rFonts w:ascii="宋体" w:hAnsi="Calibri" w:eastAsia="宋体" w:cs="宋体"/>
          <w:color w:val="auto"/>
          <w:sz w:val="28"/>
          <w:szCs w:val="28"/>
          <w:u w:val="single"/>
        </w:rPr>
      </w:pPr>
      <w:r>
        <w:rPr>
          <w:rFonts w:hint="eastAsia" w:ascii="宋体" w:hAnsi="宋体" w:eastAsia="宋体" w:cs="宋体"/>
          <w:color w:val="auto"/>
          <w:sz w:val="28"/>
          <w:szCs w:val="28"/>
        </w:rPr>
        <w:t>身份证号码：职务：</w:t>
      </w:r>
    </w:p>
    <w:p>
      <w:pPr>
        <w:adjustRightInd w:val="0"/>
        <w:snapToGrid w:val="0"/>
        <w:spacing w:line="40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投  标  人：</w:t>
      </w:r>
      <w:r>
        <w:rPr>
          <w:rFonts w:hint="eastAsia" w:ascii="宋体" w:hAnsi="宋体" w:eastAsia="宋体" w:cs="宋体"/>
          <w:color w:val="auto"/>
          <w:sz w:val="28"/>
          <w:szCs w:val="28"/>
          <w:u w:val="single"/>
        </w:rPr>
        <w:t xml:space="preserve">                                 （盖章）</w:t>
      </w:r>
    </w:p>
    <w:p>
      <w:pPr>
        <w:adjustRightInd w:val="0"/>
        <w:snapToGrid w:val="0"/>
        <w:spacing w:line="400" w:lineRule="exact"/>
        <w:ind w:firstLine="560" w:firstLineChars="200"/>
        <w:rPr>
          <w:rFonts w:ascii="宋体" w:hAnsi="Calibri"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rPr>
        <w:t xml:space="preserve">                            （盖章或签字）</w:t>
      </w:r>
    </w:p>
    <w:p>
      <w:pPr>
        <w:adjustRightInd w:val="0"/>
        <w:snapToGrid w:val="0"/>
        <w:spacing w:beforeLines="20" w:afterLines="20" w:line="440" w:lineRule="exact"/>
        <w:ind w:firstLine="560" w:firstLineChars="200"/>
        <w:jc w:val="center"/>
        <w:rPr>
          <w:rFonts w:ascii="宋体" w:hAnsi="Calibri" w:eastAsia="宋体" w:cs="宋体"/>
          <w:color w:val="auto"/>
          <w:sz w:val="28"/>
          <w:szCs w:val="28"/>
        </w:rPr>
      </w:pPr>
    </w:p>
    <w:p>
      <w:pPr>
        <w:adjustRightInd w:val="0"/>
        <w:snapToGrid w:val="0"/>
        <w:spacing w:beforeLines="20" w:afterLines="20" w:line="440" w:lineRule="exact"/>
        <w:ind w:firstLine="560" w:firstLineChars="200"/>
        <w:jc w:val="center"/>
        <w:rPr>
          <w:rFonts w:ascii="宋体" w:hAnsi="Calibri" w:eastAsia="宋体" w:cs="宋体"/>
          <w:color w:val="auto"/>
          <w:sz w:val="28"/>
          <w:szCs w:val="28"/>
        </w:rPr>
      </w:pPr>
      <w:r>
        <w:rPr>
          <w:rFonts w:hint="eastAsia" w:ascii="宋体" w:hAnsi="宋体" w:eastAsia="宋体" w:cs="宋体"/>
          <w:color w:val="auto"/>
          <w:sz w:val="28"/>
          <w:szCs w:val="28"/>
        </w:rPr>
        <w:t>法人身份证粘贴处：</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20" w:afterLines="20" w:line="540" w:lineRule="exact"/>
              <w:ind w:firstLine="560" w:firstLineChars="200"/>
              <w:rPr>
                <w:rFonts w:ascii="宋体" w:hAnsi="Calibri" w:eastAsia="宋体" w:cs="宋体"/>
                <w:color w:val="auto"/>
                <w:sz w:val="28"/>
                <w:szCs w:val="28"/>
              </w:rPr>
            </w:pPr>
          </w:p>
        </w:tc>
        <w:tc>
          <w:tcPr>
            <w:tcW w:w="3900" w:type="dxa"/>
            <w:tcBorders>
              <w:top w:val="single" w:color="auto" w:sz="4" w:space="0"/>
              <w:left w:val="single" w:color="auto" w:sz="4" w:space="0"/>
              <w:bottom w:val="single" w:color="auto" w:sz="4" w:space="0"/>
              <w:right w:val="single" w:color="auto" w:sz="4" w:space="0"/>
            </w:tcBorders>
            <w:noWrap/>
          </w:tcPr>
          <w:p>
            <w:pPr>
              <w:adjustRightInd w:val="0"/>
              <w:snapToGrid w:val="0"/>
              <w:spacing w:beforeLines="20" w:afterLines="20" w:line="540" w:lineRule="exact"/>
              <w:ind w:firstLine="560" w:firstLineChars="200"/>
              <w:rPr>
                <w:rFonts w:ascii="宋体" w:hAnsi="Calibri" w:eastAsia="宋体" w:cs="宋体"/>
                <w:color w:val="auto"/>
                <w:sz w:val="28"/>
                <w:szCs w:val="28"/>
              </w:rPr>
            </w:pPr>
          </w:p>
        </w:tc>
      </w:tr>
    </w:tbl>
    <w:p>
      <w:pPr>
        <w:adjustRightInd w:val="0"/>
        <w:snapToGrid w:val="0"/>
        <w:spacing w:line="400" w:lineRule="exact"/>
        <w:ind w:firstLine="560" w:firstLineChars="200"/>
        <w:jc w:val="center"/>
        <w:rPr>
          <w:rFonts w:ascii="宋体" w:hAnsi="Calibri" w:eastAsia="宋体" w:cs="宋体"/>
          <w:b/>
          <w:color w:val="auto"/>
          <w:kern w:val="10"/>
          <w:sz w:val="28"/>
          <w:szCs w:val="28"/>
        </w:rPr>
      </w:pPr>
      <w:r>
        <w:rPr>
          <w:rFonts w:hint="eastAsia" w:ascii="宋体" w:hAnsi="宋体" w:eastAsia="宋体" w:cs="宋体"/>
          <w:color w:val="auto"/>
          <w:sz w:val="28"/>
          <w:szCs w:val="28"/>
        </w:rPr>
        <w:t>被授权人身份证粘贴处：</w:t>
      </w:r>
    </w:p>
    <w:tbl>
      <w:tblPr>
        <w:tblStyle w:val="16"/>
        <w:tblpPr w:leftFromText="180" w:rightFromText="180" w:vertAnchor="text" w:horzAnchor="page" w:tblpXSpec="center" w:tblpY="3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trPr>
        <w:tc>
          <w:tcPr>
            <w:tcW w:w="4359" w:type="dxa"/>
            <w:tcBorders>
              <w:top w:val="single" w:color="auto" w:sz="4" w:space="0"/>
              <w:left w:val="single" w:color="auto" w:sz="4" w:space="0"/>
              <w:bottom w:val="single" w:color="auto" w:sz="4" w:space="0"/>
              <w:right w:val="single" w:color="auto" w:sz="4" w:space="0"/>
            </w:tcBorders>
            <w:noWrap/>
          </w:tcPr>
          <w:p>
            <w:pPr>
              <w:adjustRightInd w:val="0"/>
              <w:snapToGrid w:val="0"/>
              <w:spacing w:line="400" w:lineRule="exact"/>
              <w:ind w:firstLine="560" w:firstLineChars="200"/>
              <w:rPr>
                <w:rFonts w:ascii="宋体" w:hAnsi="Calibri" w:eastAsia="宋体" w:cs="宋体"/>
                <w:color w:val="auto"/>
                <w:sz w:val="28"/>
                <w:szCs w:val="28"/>
              </w:rPr>
            </w:pPr>
          </w:p>
        </w:tc>
        <w:tc>
          <w:tcPr>
            <w:tcW w:w="4032" w:type="dxa"/>
            <w:tcBorders>
              <w:top w:val="single" w:color="auto" w:sz="4" w:space="0"/>
              <w:left w:val="single" w:color="auto" w:sz="4" w:space="0"/>
              <w:bottom w:val="single" w:color="auto" w:sz="4" w:space="0"/>
              <w:right w:val="single" w:color="auto" w:sz="4" w:space="0"/>
            </w:tcBorders>
            <w:noWrap/>
          </w:tcPr>
          <w:p>
            <w:pPr>
              <w:adjustRightInd w:val="0"/>
              <w:snapToGrid w:val="0"/>
              <w:spacing w:line="400" w:lineRule="exact"/>
              <w:ind w:firstLine="560" w:firstLineChars="200"/>
              <w:rPr>
                <w:rFonts w:ascii="宋体" w:hAnsi="Calibri" w:eastAsia="宋体" w:cs="宋体"/>
                <w:color w:val="auto"/>
                <w:sz w:val="28"/>
                <w:szCs w:val="28"/>
              </w:rPr>
            </w:pPr>
          </w:p>
        </w:tc>
      </w:tr>
    </w:tbl>
    <w:p>
      <w:pPr>
        <w:keepNext/>
        <w:keepLines/>
        <w:tabs>
          <w:tab w:val="left" w:pos="720"/>
        </w:tabs>
        <w:adjustRightInd w:val="0"/>
        <w:snapToGrid w:val="0"/>
        <w:spacing w:beforeLines="20" w:afterLines="20" w:line="540" w:lineRule="exact"/>
        <w:ind w:firstLine="560" w:firstLineChars="200"/>
        <w:jc w:val="right"/>
        <w:outlineLvl w:val="2"/>
        <w:rPr>
          <w:rFonts w:ascii="Calibri" w:hAnsi="Calibri" w:eastAsia="宋体" w:cs="Times New Roman"/>
          <w:bCs/>
          <w:color w:val="auto"/>
          <w:sz w:val="28"/>
          <w:szCs w:val="28"/>
        </w:rPr>
      </w:pPr>
      <w:r>
        <w:rPr>
          <w:rFonts w:hint="eastAsia" w:ascii="宋体" w:hAnsi="宋体" w:eastAsia="宋体" w:cs="宋体"/>
          <w:bCs/>
          <w:color w:val="auto"/>
          <w:sz w:val="28"/>
          <w:szCs w:val="28"/>
        </w:rPr>
        <w:t>授权委托日期：年 月日</w:t>
      </w:r>
    </w:p>
    <w:p>
      <w:pPr>
        <w:widowControl/>
        <w:jc w:val="left"/>
        <w:rPr>
          <w:bCs/>
          <w:color w:val="auto"/>
          <w:sz w:val="28"/>
          <w:szCs w:val="28"/>
        </w:rPr>
        <w:sectPr>
          <w:pgSz w:w="11906" w:h="16838"/>
          <w:pgMar w:top="1247" w:right="1287" w:bottom="1311" w:left="1378" w:header="851" w:footer="992" w:gutter="0"/>
          <w:cols w:space="720" w:num="1"/>
          <w:docGrid w:type="lines" w:linePitch="315" w:charSpace="0"/>
        </w:sectPr>
      </w:pPr>
    </w:p>
    <w:p>
      <w:pPr>
        <w:snapToGrid w:val="0"/>
        <w:spacing w:line="360" w:lineRule="auto"/>
        <w:jc w:val="left"/>
        <w:rPr>
          <w:rFonts w:ascii="宋体" w:hAnsi="宋体" w:eastAsia="宋体" w:cs="宋体"/>
          <w:b/>
          <w:bCs/>
          <w:color w:val="auto"/>
          <w:sz w:val="28"/>
          <w:szCs w:val="28"/>
        </w:rPr>
      </w:pPr>
    </w:p>
    <w:p>
      <w:pPr>
        <w:adjustRightInd w:val="0"/>
        <w:snapToGrid w:val="0"/>
        <w:spacing w:line="288" w:lineRule="auto"/>
        <w:ind w:firstLine="562" w:firstLineChars="200"/>
        <w:jc w:val="left"/>
        <w:rPr>
          <w:rFonts w:ascii="Calibri" w:hAnsi="Calibri" w:eastAsia="宋体" w:cs="Times New Roman"/>
          <w:b/>
          <w:bCs/>
          <w:color w:val="auto"/>
          <w:sz w:val="28"/>
          <w:szCs w:val="28"/>
        </w:rPr>
      </w:pPr>
      <w:r>
        <w:rPr>
          <w:rFonts w:hint="eastAsia" w:ascii="Calibri" w:hAnsi="Calibri" w:eastAsia="宋体" w:cs="Times New Roman"/>
          <w:b/>
          <w:bCs/>
          <w:color w:val="auto"/>
          <w:sz w:val="28"/>
          <w:szCs w:val="28"/>
        </w:rPr>
        <w:t>附件（五）</w:t>
      </w:r>
    </w:p>
    <w:p>
      <w:pPr>
        <w:ind w:firstLine="560" w:firstLineChars="200"/>
        <w:jc w:val="center"/>
        <w:rPr>
          <w:rFonts w:ascii="Calibri" w:hAnsi="Calibri" w:eastAsia="宋体" w:cs="Times New Roman"/>
          <w:color w:val="auto"/>
          <w:sz w:val="28"/>
          <w:szCs w:val="28"/>
        </w:rPr>
      </w:pPr>
      <w:r>
        <w:rPr>
          <w:rFonts w:hint="eastAsia" w:ascii="Calibri" w:hAnsi="Calibri" w:eastAsia="宋体" w:cs="Times New Roman"/>
          <w:color w:val="auto"/>
          <w:sz w:val="28"/>
          <w:szCs w:val="28"/>
        </w:rPr>
        <w:t>承诺函</w:t>
      </w:r>
    </w:p>
    <w:p>
      <w:pPr>
        <w:ind w:firstLine="560" w:firstLineChars="200"/>
        <w:jc w:val="left"/>
        <w:rPr>
          <w:rFonts w:ascii="Calibri" w:hAnsi="Calibri" w:eastAsia="宋体" w:cs="Times New Roman"/>
          <w:color w:val="auto"/>
          <w:sz w:val="28"/>
          <w:szCs w:val="28"/>
        </w:rPr>
      </w:pPr>
      <w:bookmarkStart w:id="1" w:name="_Toc530255538"/>
      <w:r>
        <w:rPr>
          <w:rFonts w:hint="eastAsia" w:ascii="Calibri" w:hAnsi="Calibri" w:eastAsia="宋体" w:cs="Times New Roman"/>
          <w:color w:val="auto"/>
          <w:sz w:val="28"/>
          <w:szCs w:val="28"/>
        </w:rPr>
        <w:t>我公司郑重承诺，在经营活动中没有以下不良行为记录：</w:t>
      </w:r>
      <w:bookmarkEnd w:id="1"/>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1</w:t>
      </w:r>
      <w:r>
        <w:rPr>
          <w:rFonts w:hint="eastAsia" w:ascii="Calibri" w:hAnsi="Calibri" w:eastAsia="宋体" w:cs="Times New Roman"/>
          <w:color w:val="auto"/>
          <w:sz w:val="28"/>
          <w:szCs w:val="28"/>
        </w:rPr>
        <w:t>、被人民法院列入失信被执行人的；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2</w:t>
      </w:r>
      <w:r>
        <w:rPr>
          <w:rFonts w:hint="eastAsia" w:ascii="Calibri" w:hAnsi="Calibri" w:eastAsia="宋体" w:cs="Times New Roman"/>
          <w:color w:val="auto"/>
          <w:sz w:val="28"/>
          <w:szCs w:val="28"/>
        </w:rPr>
        <w:t>、被工商行政管理部门列入企业经营异常名录的；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3</w:t>
      </w:r>
      <w:r>
        <w:rPr>
          <w:rFonts w:hint="eastAsia" w:ascii="Calibri" w:hAnsi="Calibri" w:eastAsia="宋体" w:cs="Times New Roman"/>
          <w:color w:val="auto"/>
          <w:sz w:val="28"/>
          <w:szCs w:val="28"/>
        </w:rPr>
        <w:t>、被税务部门列入重大税收违法案件当事人名单的；</w:t>
      </w:r>
    </w:p>
    <w:p>
      <w:pPr>
        <w:ind w:firstLine="560" w:firstLineChars="200"/>
        <w:jc w:val="left"/>
        <w:rPr>
          <w:rFonts w:ascii="Calibri" w:hAnsi="Calibri" w:eastAsia="宋体" w:cs="Times New Roman"/>
          <w:color w:val="auto"/>
          <w:sz w:val="28"/>
          <w:szCs w:val="28"/>
        </w:rPr>
      </w:pPr>
      <w:r>
        <w:rPr>
          <w:rFonts w:ascii="Calibri" w:hAnsi="Calibri" w:eastAsia="宋体" w:cs="Times New Roman"/>
          <w:color w:val="auto"/>
          <w:sz w:val="28"/>
          <w:szCs w:val="28"/>
        </w:rPr>
        <w:t>4</w:t>
      </w:r>
      <w:r>
        <w:rPr>
          <w:rFonts w:hint="eastAsia" w:ascii="Calibri" w:hAnsi="Calibri" w:eastAsia="宋体" w:cs="Times New Roman"/>
          <w:color w:val="auto"/>
          <w:sz w:val="28"/>
          <w:szCs w:val="28"/>
        </w:rPr>
        <w:t>、被政府采购监管部门列入政府采购严重违法失信行为记录名单的。</w:t>
      </w:r>
    </w:p>
    <w:p>
      <w:pPr>
        <w:ind w:firstLine="560" w:firstLineChars="200"/>
        <w:jc w:val="left"/>
        <w:rPr>
          <w:rFonts w:ascii="Calibri" w:hAnsi="Calibri" w:eastAsia="宋体" w:cs="Times New Roman"/>
          <w:color w:val="auto"/>
          <w:sz w:val="28"/>
          <w:szCs w:val="28"/>
        </w:rPr>
      </w:pPr>
    </w:p>
    <w:p>
      <w:pPr>
        <w:ind w:firstLine="560" w:firstLineChars="200"/>
        <w:jc w:val="left"/>
        <w:rPr>
          <w:rFonts w:ascii="Calibri" w:hAnsi="Calibri" w:eastAsia="宋体" w:cs="Times New Roman"/>
          <w:color w:val="auto"/>
          <w:sz w:val="28"/>
          <w:szCs w:val="28"/>
        </w:rPr>
      </w:pPr>
      <w:r>
        <w:rPr>
          <w:rFonts w:hint="eastAsia" w:ascii="Calibri" w:hAnsi="Calibri" w:eastAsia="宋体" w:cs="Times New Roman"/>
          <w:color w:val="auto"/>
          <w:sz w:val="28"/>
          <w:szCs w:val="28"/>
        </w:rPr>
        <w:t>投标人：（盖公章）</w:t>
      </w:r>
    </w:p>
    <w:p>
      <w:pPr>
        <w:ind w:firstLine="560" w:firstLineChars="200"/>
        <w:jc w:val="left"/>
        <w:rPr>
          <w:rFonts w:ascii="Calibri" w:hAnsi="Calibri" w:eastAsia="宋体" w:cs="Times New Roman"/>
          <w:color w:val="auto"/>
          <w:sz w:val="28"/>
          <w:szCs w:val="28"/>
        </w:rPr>
      </w:pPr>
      <w:r>
        <w:rPr>
          <w:rFonts w:hint="eastAsia" w:ascii="Calibri" w:hAnsi="Calibri" w:eastAsia="宋体" w:cs="Times New Roman"/>
          <w:color w:val="auto"/>
          <w:sz w:val="28"/>
          <w:szCs w:val="28"/>
        </w:rPr>
        <w:t>法定代表人或其委托代理人：（签字或盖章）</w:t>
      </w:r>
    </w:p>
    <w:p>
      <w:pPr>
        <w:ind w:firstLine="560" w:firstLineChars="200"/>
        <w:jc w:val="left"/>
        <w:rPr>
          <w:rFonts w:ascii="Calibri" w:hAnsi="Calibri" w:eastAsia="宋体" w:cs="Times New Roman"/>
          <w:color w:val="auto"/>
          <w:sz w:val="28"/>
          <w:szCs w:val="28"/>
        </w:rPr>
      </w:pPr>
    </w:p>
    <w:p>
      <w:pPr>
        <w:jc w:val="right"/>
        <w:rPr>
          <w:rFonts w:ascii="Calibri" w:hAnsi="Calibri" w:eastAsia="宋体" w:cs="Times New Roman"/>
          <w:color w:val="auto"/>
          <w:sz w:val="28"/>
          <w:szCs w:val="28"/>
        </w:rPr>
      </w:pPr>
      <w:r>
        <w:rPr>
          <w:rFonts w:hint="eastAsia" w:ascii="Calibri" w:hAnsi="Calibri" w:eastAsia="宋体" w:cs="Times New Roman"/>
          <w:color w:val="auto"/>
          <w:sz w:val="28"/>
          <w:szCs w:val="28"/>
        </w:rPr>
        <w:t>时间：年月日</w:t>
      </w:r>
    </w:p>
    <w:p>
      <w:pPr>
        <w:ind w:firstLine="560" w:firstLineChars="200"/>
        <w:jc w:val="left"/>
        <w:rPr>
          <w:rFonts w:ascii="Calibri" w:hAnsi="Calibri" w:eastAsia="宋体" w:cs="Times New Roman"/>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r>
        <w:rPr>
          <w:rFonts w:hint="eastAsia" w:ascii="宋体" w:hAnsi="宋体" w:eastAsia="宋体" w:cs="Times New Roman"/>
          <w:b/>
          <w:color w:val="auto"/>
          <w:sz w:val="28"/>
          <w:szCs w:val="28"/>
        </w:rPr>
        <w:t>服务承诺函</w:t>
      </w:r>
    </w:p>
    <w:p>
      <w:pPr>
        <w:spacing w:line="500" w:lineRule="exact"/>
        <w:ind w:firstLine="562" w:firstLineChars="200"/>
        <w:jc w:val="center"/>
        <w:rPr>
          <w:rFonts w:ascii="宋体" w:hAnsi="宋体" w:eastAsia="宋体" w:cs="Times New Roman"/>
          <w:b/>
          <w:color w:val="auto"/>
          <w:sz w:val="28"/>
          <w:szCs w:val="28"/>
        </w:rPr>
      </w:pPr>
    </w:p>
    <w:p>
      <w:pPr>
        <w:snapToGrid w:val="0"/>
        <w:spacing w:line="360" w:lineRule="auto"/>
        <w:ind w:left="1663" w:hanging="1663" w:hangingChars="594"/>
        <w:jc w:val="left"/>
        <w:rPr>
          <w:rFonts w:ascii="宋体" w:hAnsi="宋体" w:eastAsia="宋体" w:cs="宋体"/>
          <w:color w:val="auto"/>
          <w:sz w:val="28"/>
          <w:szCs w:val="28"/>
        </w:rPr>
      </w:pPr>
      <w:r>
        <w:rPr>
          <w:rFonts w:hint="eastAsia" w:ascii="宋体" w:hAnsi="宋体" w:eastAsia="宋体" w:cs="宋体"/>
          <w:color w:val="auto"/>
          <w:sz w:val="28"/>
          <w:szCs w:val="28"/>
        </w:rPr>
        <w:t>安徽相王医疗健康股份有限公司：</w:t>
      </w:r>
    </w:p>
    <w:p>
      <w:pPr>
        <w:widowControl/>
        <w:shd w:val="clear" w:color="auto" w:fill="FFFFFF"/>
        <w:snapToGrid w:val="0"/>
        <w:spacing w:line="360" w:lineRule="auto"/>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我方承诺为。</w:t>
      </w:r>
    </w:p>
    <w:p>
      <w:pPr>
        <w:snapToGrid w:val="0"/>
        <w:spacing w:line="360" w:lineRule="auto"/>
        <w:rPr>
          <w:rFonts w:ascii="宋体" w:hAnsi="宋体" w:eastAsia="宋体" w:cs="宋体"/>
          <w:color w:val="auto"/>
          <w:sz w:val="28"/>
          <w:szCs w:val="28"/>
        </w:rPr>
      </w:pPr>
    </w:p>
    <w:p>
      <w:pPr>
        <w:snapToGrid w:val="0"/>
        <w:spacing w:line="360" w:lineRule="auto"/>
        <w:ind w:left="1946" w:hanging="1946" w:hangingChars="695"/>
        <w:jc w:val="right"/>
        <w:rPr>
          <w:rFonts w:ascii="宋体" w:hAnsi="宋体" w:eastAsia="宋体" w:cs="宋体"/>
          <w:color w:val="auto"/>
          <w:sz w:val="28"/>
          <w:szCs w:val="28"/>
        </w:rPr>
      </w:pPr>
      <w:r>
        <w:rPr>
          <w:rFonts w:hint="eastAsia" w:ascii="宋体" w:hAnsi="宋体" w:eastAsia="宋体" w:cs="宋体"/>
          <w:color w:val="auto"/>
          <w:sz w:val="28"/>
          <w:szCs w:val="28"/>
        </w:rPr>
        <w:t>投标人公章</w:t>
      </w:r>
    </w:p>
    <w:p>
      <w:pPr>
        <w:snapToGrid w:val="0"/>
        <w:spacing w:line="360" w:lineRule="auto"/>
        <w:ind w:left="1946" w:hanging="1946" w:hangingChars="695"/>
        <w:jc w:val="right"/>
        <w:rPr>
          <w:rFonts w:ascii="宋体" w:hAnsi="宋体" w:eastAsia="宋体" w:cs="宋体"/>
          <w:color w:val="auto"/>
          <w:sz w:val="28"/>
          <w:szCs w:val="28"/>
        </w:rPr>
      </w:pPr>
      <w:r>
        <w:rPr>
          <w:rFonts w:hint="eastAsia" w:ascii="宋体" w:hAnsi="宋体" w:eastAsia="宋体" w:cs="宋体"/>
          <w:color w:val="auto"/>
          <w:sz w:val="28"/>
          <w:szCs w:val="28"/>
        </w:rPr>
        <w:t>法定代表人：</w:t>
      </w:r>
    </w:p>
    <w:p>
      <w:pPr>
        <w:snapToGrid w:val="0"/>
        <w:spacing w:line="360" w:lineRule="auto"/>
        <w:ind w:left="1946" w:hanging="1946" w:hangingChars="695"/>
        <w:jc w:val="right"/>
        <w:rPr>
          <w:rFonts w:ascii="宋体" w:hAnsi="宋体" w:eastAsia="宋体" w:cs="宋体"/>
          <w:b/>
          <w:bCs/>
          <w:color w:val="auto"/>
          <w:sz w:val="28"/>
          <w:szCs w:val="28"/>
        </w:rPr>
      </w:pPr>
      <w:r>
        <w:rPr>
          <w:rFonts w:hint="eastAsia" w:ascii="宋体" w:hAnsi="宋体" w:eastAsia="宋体" w:cs="宋体"/>
          <w:color w:val="auto"/>
          <w:sz w:val="28"/>
          <w:szCs w:val="28"/>
        </w:rPr>
        <w:t>委托代理人：</w:t>
      </w:r>
    </w:p>
    <w:p>
      <w:pPr>
        <w:snapToGrid w:val="0"/>
        <w:spacing w:line="360" w:lineRule="auto"/>
        <w:ind w:left="1946" w:hanging="1946" w:hangingChars="695"/>
        <w:jc w:val="right"/>
        <w:rPr>
          <w:rFonts w:ascii="宋体" w:hAnsi="宋体" w:eastAsia="宋体" w:cs="宋体"/>
          <w:b/>
          <w:bCs/>
          <w:color w:val="auto"/>
          <w:sz w:val="28"/>
          <w:szCs w:val="28"/>
        </w:rPr>
      </w:pPr>
      <w:r>
        <w:rPr>
          <w:rFonts w:hint="eastAsia" w:ascii="宋体" w:hAnsi="宋体" w:eastAsia="宋体" w:cs="宋体"/>
          <w:color w:val="auto"/>
          <w:sz w:val="28"/>
          <w:szCs w:val="28"/>
        </w:rPr>
        <w:t>日期（年、月、日）</w:t>
      </w:r>
    </w:p>
    <w:p>
      <w:pPr>
        <w:spacing w:line="500" w:lineRule="exact"/>
        <w:ind w:firstLine="562" w:firstLineChars="200"/>
        <w:jc w:val="right"/>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ind w:firstLine="562" w:firstLineChars="200"/>
        <w:jc w:val="center"/>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pacing w:line="500" w:lineRule="exact"/>
        <w:rPr>
          <w:rFonts w:ascii="宋体" w:hAnsi="宋体" w:eastAsia="宋体" w:cs="Times New Roman"/>
          <w:b/>
          <w:color w:val="auto"/>
          <w:sz w:val="28"/>
          <w:szCs w:val="28"/>
        </w:rPr>
      </w:pPr>
    </w:p>
    <w:p>
      <w:pPr>
        <w:snapToGrid w:val="0"/>
        <w:spacing w:line="360" w:lineRule="auto"/>
        <w:ind w:firstLine="562" w:firstLineChars="200"/>
        <w:jc w:val="left"/>
        <w:rPr>
          <w:rFonts w:ascii="宋体" w:hAnsi="宋体" w:eastAsia="宋体" w:cs="Times New Roman"/>
          <w:b/>
          <w:bCs/>
          <w:color w:val="auto"/>
          <w:sz w:val="28"/>
          <w:szCs w:val="28"/>
        </w:rPr>
      </w:pPr>
      <w:r>
        <w:rPr>
          <w:rFonts w:hint="eastAsia" w:ascii="宋体" w:hAnsi="宋体" w:eastAsia="宋体" w:cs="宋体"/>
          <w:b/>
          <w:bCs/>
          <w:color w:val="auto"/>
          <w:sz w:val="28"/>
          <w:szCs w:val="28"/>
        </w:rPr>
        <w:t>附件（六）</w:t>
      </w:r>
    </w:p>
    <w:p>
      <w:pPr>
        <w:ind w:firstLine="562" w:firstLineChars="200"/>
        <w:jc w:val="center"/>
        <w:rPr>
          <w:rFonts w:ascii="宋体" w:hAnsi="宋体" w:eastAsia="宋体" w:cs="Times New Roman"/>
          <w:b/>
          <w:bCs/>
          <w:color w:val="auto"/>
          <w:sz w:val="28"/>
          <w:szCs w:val="28"/>
        </w:rPr>
      </w:pPr>
      <w:r>
        <w:rPr>
          <w:rFonts w:hint="eastAsia" w:ascii="宋体" w:hAnsi="宋体" w:eastAsia="宋体" w:cs="Times New Roman"/>
          <w:b/>
          <w:bCs/>
          <w:color w:val="auto"/>
          <w:sz w:val="28"/>
          <w:szCs w:val="28"/>
        </w:rPr>
        <w:t>项目人员配置表</w:t>
      </w:r>
    </w:p>
    <w:tbl>
      <w:tblPr>
        <w:tblStyle w:val="16"/>
        <w:tblW w:w="10485" w:type="dxa"/>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60"/>
        <w:gridCol w:w="540"/>
        <w:gridCol w:w="1245"/>
        <w:gridCol w:w="1890"/>
        <w:gridCol w:w="1905"/>
        <w:gridCol w:w="16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序号</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姓名</w:t>
            </w:r>
          </w:p>
        </w:tc>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性别</w:t>
            </w:r>
          </w:p>
        </w:tc>
        <w:tc>
          <w:tcPr>
            <w:tcW w:w="124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职务</w:t>
            </w:r>
          </w:p>
        </w:tc>
        <w:tc>
          <w:tcPr>
            <w:tcW w:w="18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身份证号码</w:t>
            </w:r>
          </w:p>
        </w:tc>
        <w:tc>
          <w:tcPr>
            <w:tcW w:w="19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从事专业工作时间</w:t>
            </w:r>
          </w:p>
        </w:tc>
        <w:tc>
          <w:tcPr>
            <w:tcW w:w="1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资格证件号码</w:t>
            </w: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sz w:val="24"/>
              </w:rPr>
            </w:pPr>
            <w:r>
              <w:rPr>
                <w:rFonts w:hint="eastAsia" w:ascii="宋体" w:hAnsi="宋体" w:eastAsia="宋体" w:cs="Times New Roman"/>
                <w:color w:val="auto"/>
                <w:sz w:val="24"/>
              </w:rPr>
              <w:t>健康证号码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6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54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4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9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6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6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54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4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9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6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6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54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4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9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6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6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54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4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9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6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6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54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4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9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6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6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54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4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9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6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6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54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4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9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6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6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54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4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9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6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6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54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4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9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6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6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54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24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890"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9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60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c>
          <w:tcPr>
            <w:tcW w:w="1575" w:type="dxa"/>
            <w:tcBorders>
              <w:top w:val="single" w:color="auto" w:sz="4" w:space="0"/>
              <w:left w:val="single" w:color="auto" w:sz="4" w:space="0"/>
              <w:bottom w:val="single" w:color="auto" w:sz="4" w:space="0"/>
              <w:right w:val="single" w:color="auto" w:sz="4" w:space="0"/>
            </w:tcBorders>
            <w:noWrap/>
          </w:tcPr>
          <w:p>
            <w:pPr>
              <w:ind w:firstLine="560" w:firstLineChars="200"/>
              <w:jc w:val="center"/>
              <w:rPr>
                <w:rFonts w:ascii="宋体" w:hAnsi="宋体" w:eastAsia="宋体" w:cs="Times New Roman"/>
                <w:color w:val="auto"/>
                <w:sz w:val="28"/>
                <w:szCs w:val="28"/>
              </w:rPr>
            </w:pPr>
          </w:p>
        </w:tc>
      </w:tr>
    </w:tbl>
    <w:p>
      <w:pPr>
        <w:ind w:firstLine="560" w:firstLineChars="200"/>
        <w:jc w:val="center"/>
        <w:rPr>
          <w:rFonts w:ascii="宋体" w:hAnsi="宋体" w:eastAsia="宋体" w:cs="Times New Roman"/>
          <w:color w:val="auto"/>
          <w:sz w:val="28"/>
          <w:szCs w:val="28"/>
        </w:rPr>
      </w:pPr>
    </w:p>
    <w:p>
      <w:pPr>
        <w:rPr>
          <w:rFonts w:ascii="Calibri" w:hAnsi="Calibri" w:eastAsia="宋体" w:cs="Times New Roman"/>
          <w:color w:val="auto"/>
        </w:rPr>
      </w:pPr>
    </w:p>
    <w:p>
      <w:pPr>
        <w:pStyle w:val="3"/>
        <w:spacing w:line="500" w:lineRule="exact"/>
        <w:ind w:left="0"/>
        <w:rPr>
          <w:rFonts w:ascii="华文仿宋" w:hAnsi="华文仿宋" w:eastAsia="宋体"/>
          <w:b/>
          <w:color w:val="auto"/>
          <w:sz w:val="36"/>
          <w:szCs w:val="36"/>
        </w:rPr>
      </w:pPr>
    </w:p>
    <w:p>
      <w:pPr>
        <w:rPr>
          <w:rFonts w:ascii="宋体" w:hAnsi="宋体" w:eastAsia="宋体"/>
          <w:b/>
          <w:color w:val="auto"/>
          <w:sz w:val="28"/>
          <w:szCs w:val="28"/>
        </w:rPr>
      </w:pPr>
    </w:p>
    <w:p>
      <w:pPr>
        <w:rPr>
          <w:rFonts w:ascii="宋体" w:hAnsi="宋体" w:eastAsia="宋体"/>
          <w:b/>
          <w:color w:val="auto"/>
          <w:sz w:val="28"/>
          <w:szCs w:val="28"/>
        </w:rPr>
      </w:pPr>
    </w:p>
    <w:p>
      <w:pPr>
        <w:rPr>
          <w:rFonts w:ascii="宋体" w:hAnsi="宋体" w:eastAsia="宋体"/>
          <w:b/>
          <w:color w:val="auto"/>
          <w:sz w:val="28"/>
          <w:szCs w:val="28"/>
        </w:rPr>
      </w:pPr>
    </w:p>
    <w:p>
      <w:pPr>
        <w:rPr>
          <w:rFonts w:ascii="宋体" w:hAnsi="宋体" w:eastAsia="宋体"/>
          <w:b/>
          <w:color w:val="auto"/>
          <w:sz w:val="28"/>
          <w:szCs w:val="28"/>
        </w:rPr>
      </w:pPr>
    </w:p>
    <w:p>
      <w:pPr>
        <w:rPr>
          <w:rFonts w:ascii="宋体" w:hAnsi="宋体" w:eastAsia="宋体"/>
          <w:b/>
          <w:color w:val="auto"/>
          <w:sz w:val="28"/>
          <w:szCs w:val="28"/>
        </w:rPr>
      </w:pPr>
    </w:p>
    <w:p>
      <w:pPr>
        <w:rPr>
          <w:rFonts w:ascii="宋体" w:hAnsi="宋体" w:eastAsia="宋体"/>
          <w:b/>
          <w:color w:val="auto"/>
          <w:sz w:val="28"/>
          <w:szCs w:val="28"/>
        </w:rPr>
      </w:pPr>
    </w:p>
    <w:p>
      <w:pPr>
        <w:rPr>
          <w:rFonts w:ascii="宋体" w:hAnsi="宋体" w:eastAsia="宋体"/>
          <w:b/>
          <w:color w:val="auto"/>
          <w:sz w:val="28"/>
          <w:szCs w:val="28"/>
        </w:rPr>
      </w:pPr>
    </w:p>
    <w:p>
      <w:pPr>
        <w:rPr>
          <w:b/>
          <w:bCs/>
          <w:color w:val="auto"/>
          <w:sz w:val="28"/>
          <w:szCs w:val="36"/>
        </w:rPr>
      </w:pPr>
      <w:r>
        <w:rPr>
          <w:rFonts w:hint="eastAsia"/>
          <w:b/>
          <w:bCs/>
          <w:color w:val="auto"/>
          <w:sz w:val="28"/>
          <w:szCs w:val="36"/>
        </w:rPr>
        <w:t>附件（七）</w:t>
      </w:r>
    </w:p>
    <w:p>
      <w:pPr>
        <w:rPr>
          <w:b/>
          <w:bCs/>
          <w:color w:val="auto"/>
          <w:sz w:val="28"/>
          <w:szCs w:val="36"/>
        </w:rPr>
      </w:pPr>
      <w:r>
        <w:rPr>
          <w:rFonts w:hint="eastAsia"/>
          <w:b/>
          <w:bCs/>
          <w:color w:val="auto"/>
          <w:sz w:val="28"/>
          <w:szCs w:val="36"/>
        </w:rPr>
        <w:t>招标选定菜品表</w:t>
      </w:r>
    </w:p>
    <w:tbl>
      <w:tblPr>
        <w:tblStyle w:val="17"/>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480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rFonts w:hint="eastAsia" w:ascii="宋体" w:eastAsia="宋体" w:cs="宋体"/>
                <w:color w:val="auto"/>
                <w:kern w:val="0"/>
                <w:sz w:val="28"/>
                <w:szCs w:val="28"/>
                <w:lang w:eastAsia="zh-CN"/>
              </w:rPr>
            </w:pPr>
            <w:r>
              <w:rPr>
                <w:rFonts w:hint="eastAsia" w:ascii="宋体" w:eastAsia="宋体" w:cs="宋体"/>
                <w:color w:val="auto"/>
                <w:kern w:val="0"/>
                <w:sz w:val="28"/>
                <w:szCs w:val="28"/>
                <w:lang w:eastAsia="zh-CN"/>
              </w:rPr>
              <w:t>类别</w:t>
            </w:r>
          </w:p>
        </w:tc>
        <w:tc>
          <w:tcPr>
            <w:tcW w:w="4800" w:type="dxa"/>
          </w:tcPr>
          <w:p>
            <w:pPr>
              <w:jc w:val="center"/>
              <w:rPr>
                <w:rFonts w:hint="eastAsia" w:ascii="宋体" w:eastAsia="宋体" w:cs="宋体"/>
                <w:color w:val="auto"/>
                <w:kern w:val="0"/>
                <w:sz w:val="28"/>
                <w:szCs w:val="28"/>
                <w:lang w:eastAsia="zh-CN"/>
              </w:rPr>
            </w:pPr>
            <w:r>
              <w:rPr>
                <w:rFonts w:hint="eastAsia" w:ascii="宋体" w:eastAsia="宋体" w:cs="宋体"/>
                <w:color w:val="auto"/>
                <w:kern w:val="0"/>
                <w:sz w:val="28"/>
                <w:szCs w:val="28"/>
                <w:lang w:eastAsia="zh-CN"/>
              </w:rPr>
              <w:t>规格</w:t>
            </w:r>
          </w:p>
        </w:tc>
        <w:tc>
          <w:tcPr>
            <w:tcW w:w="1363" w:type="dxa"/>
          </w:tcPr>
          <w:p>
            <w:pPr>
              <w:jc w:val="center"/>
              <w:rPr>
                <w:rFonts w:hint="eastAsia" w:ascii="宋体" w:eastAsia="宋体" w:cs="宋体"/>
                <w:color w:val="auto"/>
                <w:kern w:val="0"/>
                <w:sz w:val="28"/>
                <w:szCs w:val="28"/>
                <w:lang w:eastAsia="zh-CN"/>
              </w:rPr>
            </w:pPr>
            <w:r>
              <w:rPr>
                <w:rFonts w:hint="eastAsia" w:ascii="宋体" w:eastAsia="宋体" w:cs="宋体"/>
                <w:color w:val="auto"/>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color w:val="auto"/>
                <w:sz w:val="28"/>
                <w:szCs w:val="36"/>
              </w:rPr>
            </w:pPr>
            <w:r>
              <w:rPr>
                <w:rFonts w:hint="eastAsia" w:ascii="宋体" w:eastAsia="宋体" w:cs="宋体"/>
                <w:color w:val="auto"/>
                <w:kern w:val="0"/>
                <w:sz w:val="28"/>
                <w:szCs w:val="28"/>
              </w:rPr>
              <w:t>白煮蛋</w:t>
            </w:r>
          </w:p>
        </w:tc>
        <w:tc>
          <w:tcPr>
            <w:tcW w:w="4800" w:type="dxa"/>
          </w:tcPr>
          <w:p>
            <w:pPr>
              <w:jc w:val="center"/>
              <w:rPr>
                <w:color w:val="auto"/>
                <w:sz w:val="28"/>
                <w:szCs w:val="36"/>
              </w:rPr>
            </w:pPr>
            <w:r>
              <w:rPr>
                <w:rFonts w:hint="eastAsia" w:ascii="宋体" w:eastAsia="宋体" w:cs="宋体"/>
                <w:color w:val="auto"/>
                <w:kern w:val="0"/>
                <w:sz w:val="28"/>
                <w:szCs w:val="28"/>
              </w:rPr>
              <w:t>一个（60克左右）</w:t>
            </w:r>
          </w:p>
        </w:tc>
        <w:tc>
          <w:tcPr>
            <w:tcW w:w="1363" w:type="dxa"/>
          </w:tcPr>
          <w:p>
            <w:pPr>
              <w:jc w:val="center"/>
              <w:rPr>
                <w:rFonts w:hint="eastAsia"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color w:val="auto"/>
                <w:sz w:val="28"/>
                <w:szCs w:val="36"/>
              </w:rPr>
            </w:pPr>
            <w:r>
              <w:rPr>
                <w:rFonts w:hint="eastAsia"/>
                <w:color w:val="auto"/>
                <w:sz w:val="28"/>
                <w:szCs w:val="36"/>
              </w:rPr>
              <w:t>油条</w:t>
            </w:r>
          </w:p>
        </w:tc>
        <w:tc>
          <w:tcPr>
            <w:tcW w:w="4800" w:type="dxa"/>
          </w:tcPr>
          <w:p>
            <w:pPr>
              <w:jc w:val="center"/>
              <w:rPr>
                <w:color w:val="auto"/>
                <w:sz w:val="28"/>
                <w:szCs w:val="36"/>
              </w:rPr>
            </w:pPr>
            <w:r>
              <w:rPr>
                <w:rFonts w:hint="eastAsia"/>
                <w:color w:val="auto"/>
                <w:sz w:val="28"/>
                <w:szCs w:val="36"/>
              </w:rPr>
              <w:t>一根（</w:t>
            </w:r>
            <w:r>
              <w:rPr>
                <w:rFonts w:hint="eastAsia"/>
                <w:color w:val="auto"/>
                <w:sz w:val="28"/>
                <w:szCs w:val="36"/>
                <w:lang w:val="en-US" w:eastAsia="zh-CN"/>
              </w:rPr>
              <w:t>50</w:t>
            </w:r>
            <w:r>
              <w:rPr>
                <w:rFonts w:hint="eastAsia"/>
                <w:color w:val="auto"/>
                <w:sz w:val="28"/>
                <w:szCs w:val="36"/>
              </w:rPr>
              <w:t>克左右）</w:t>
            </w:r>
          </w:p>
        </w:tc>
        <w:tc>
          <w:tcPr>
            <w:tcW w:w="1363" w:type="dxa"/>
            <w:vMerge w:val="restart"/>
            <w:vAlign w:val="center"/>
          </w:tcPr>
          <w:p>
            <w:pPr>
              <w:jc w:val="center"/>
              <w:rPr>
                <w:rFonts w:hint="eastAsia" w:eastAsiaTheme="minorEastAsia"/>
                <w:color w:val="auto"/>
                <w:sz w:val="28"/>
                <w:szCs w:val="36"/>
                <w:lang w:eastAsia="zh-CN"/>
              </w:rPr>
            </w:pPr>
            <w:r>
              <w:rPr>
                <w:rFonts w:hint="eastAsia"/>
                <w:color w:val="auto"/>
                <w:sz w:val="28"/>
                <w:szCs w:val="36"/>
                <w:lang w:eastAsia="zh-CN"/>
              </w:rPr>
              <w:t>提供一种即可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color w:val="auto"/>
                <w:sz w:val="28"/>
                <w:szCs w:val="36"/>
              </w:rPr>
            </w:pPr>
            <w:r>
              <w:rPr>
                <w:rFonts w:hint="eastAsia"/>
                <w:color w:val="auto"/>
                <w:sz w:val="28"/>
                <w:szCs w:val="36"/>
              </w:rPr>
              <w:t>花卷</w:t>
            </w:r>
          </w:p>
        </w:tc>
        <w:tc>
          <w:tcPr>
            <w:tcW w:w="4800" w:type="dxa"/>
          </w:tcPr>
          <w:p>
            <w:pPr>
              <w:jc w:val="center"/>
              <w:rPr>
                <w:color w:val="auto"/>
                <w:sz w:val="28"/>
                <w:szCs w:val="36"/>
              </w:rPr>
            </w:pPr>
            <w:r>
              <w:rPr>
                <w:rFonts w:hint="eastAsia"/>
                <w:color w:val="auto"/>
                <w:sz w:val="28"/>
                <w:szCs w:val="36"/>
              </w:rPr>
              <w:t>花卷</w:t>
            </w:r>
            <w:r>
              <w:rPr>
                <w:color w:val="auto"/>
                <w:sz w:val="28"/>
                <w:szCs w:val="36"/>
              </w:rPr>
              <w:t>大小等同于超市同期常规的5角一个的馒头</w:t>
            </w:r>
          </w:p>
        </w:tc>
        <w:tc>
          <w:tcPr>
            <w:tcW w:w="1363" w:type="dxa"/>
            <w:vMerge w:val="continue"/>
          </w:tcPr>
          <w:p>
            <w:pPr>
              <w:jc w:val="center"/>
              <w:rPr>
                <w:rFonts w:hint="eastAsia"/>
                <w:color w:val="auto"/>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color w:val="auto"/>
                <w:sz w:val="28"/>
                <w:szCs w:val="36"/>
              </w:rPr>
            </w:pPr>
            <w:r>
              <w:rPr>
                <w:rFonts w:hint="eastAsia"/>
                <w:color w:val="auto"/>
                <w:sz w:val="28"/>
                <w:szCs w:val="36"/>
              </w:rPr>
              <w:t>菜包</w:t>
            </w:r>
          </w:p>
        </w:tc>
        <w:tc>
          <w:tcPr>
            <w:tcW w:w="4800" w:type="dxa"/>
          </w:tcPr>
          <w:p>
            <w:pPr>
              <w:jc w:val="center"/>
              <w:rPr>
                <w:color w:val="auto"/>
                <w:sz w:val="28"/>
                <w:szCs w:val="36"/>
              </w:rPr>
            </w:pPr>
            <w:r>
              <w:rPr>
                <w:rFonts w:hint="eastAsia" w:ascii="宋体" w:eastAsia="宋体" w:cs="宋体"/>
                <w:color w:val="auto"/>
                <w:kern w:val="0"/>
                <w:sz w:val="28"/>
                <w:szCs w:val="28"/>
              </w:rPr>
              <w:t>一个（90-100克，面皮和馅的比例为6：4）</w:t>
            </w:r>
          </w:p>
        </w:tc>
        <w:tc>
          <w:tcPr>
            <w:tcW w:w="1363" w:type="dxa"/>
            <w:vMerge w:val="continue"/>
          </w:tcPr>
          <w:p>
            <w:pPr>
              <w:jc w:val="center"/>
              <w:rPr>
                <w:rFonts w:hint="eastAsia"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rFonts w:hint="eastAsia" w:eastAsiaTheme="minorEastAsia"/>
                <w:color w:val="auto"/>
                <w:sz w:val="28"/>
                <w:szCs w:val="36"/>
                <w:lang w:eastAsia="zh-CN"/>
              </w:rPr>
            </w:pPr>
            <w:r>
              <w:rPr>
                <w:rFonts w:hint="eastAsia"/>
                <w:color w:val="auto"/>
                <w:sz w:val="28"/>
                <w:szCs w:val="36"/>
                <w:lang w:eastAsia="zh-CN"/>
              </w:rPr>
              <w:t>猪肉包</w:t>
            </w:r>
          </w:p>
        </w:tc>
        <w:tc>
          <w:tcPr>
            <w:tcW w:w="4800" w:type="dxa"/>
          </w:tcPr>
          <w:p>
            <w:pPr>
              <w:jc w:val="center"/>
              <w:rPr>
                <w:rFonts w:hint="eastAsia" w:eastAsiaTheme="minorEastAsia"/>
                <w:color w:val="auto"/>
                <w:sz w:val="28"/>
                <w:szCs w:val="36"/>
                <w:lang w:eastAsia="zh-CN"/>
              </w:rPr>
            </w:pPr>
            <w:r>
              <w:rPr>
                <w:rFonts w:hint="eastAsia" w:ascii="宋体" w:eastAsia="宋体" w:cs="宋体"/>
                <w:color w:val="auto"/>
                <w:kern w:val="0"/>
                <w:sz w:val="28"/>
                <w:szCs w:val="28"/>
              </w:rPr>
              <w:t>一个（90-100克，面皮和馅的比例为6：4）</w:t>
            </w:r>
          </w:p>
        </w:tc>
        <w:tc>
          <w:tcPr>
            <w:tcW w:w="1363" w:type="dxa"/>
            <w:vMerge w:val="continue"/>
            <w:vAlign w:val="center"/>
          </w:tcPr>
          <w:p>
            <w:pPr>
              <w:jc w:val="center"/>
              <w:rPr>
                <w:rFonts w:hint="eastAsia"/>
                <w:color w:val="auto"/>
                <w:sz w:val="28"/>
                <w:szCs w:val="3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color w:val="auto"/>
                <w:sz w:val="28"/>
                <w:szCs w:val="36"/>
              </w:rPr>
            </w:pPr>
            <w:r>
              <w:rPr>
                <w:rFonts w:hint="eastAsia"/>
                <w:color w:val="auto"/>
                <w:sz w:val="28"/>
                <w:szCs w:val="36"/>
              </w:rPr>
              <w:t>白米粥</w:t>
            </w:r>
          </w:p>
        </w:tc>
        <w:tc>
          <w:tcPr>
            <w:tcW w:w="4800" w:type="dxa"/>
          </w:tcPr>
          <w:p>
            <w:pPr>
              <w:jc w:val="center"/>
              <w:rPr>
                <w:color w:val="auto"/>
                <w:sz w:val="28"/>
                <w:szCs w:val="36"/>
              </w:rPr>
            </w:pPr>
            <w:r>
              <w:rPr>
                <w:rFonts w:hint="eastAsia"/>
                <w:color w:val="auto"/>
                <w:sz w:val="28"/>
                <w:szCs w:val="36"/>
              </w:rPr>
              <w:t>一碗（</w:t>
            </w:r>
            <w:r>
              <w:rPr>
                <w:rFonts w:hint="eastAsia" w:ascii="宋体" w:eastAsia="宋体" w:cs="宋体"/>
                <w:color w:val="auto"/>
                <w:kern w:val="0"/>
                <w:sz w:val="28"/>
                <w:szCs w:val="28"/>
              </w:rPr>
              <w:t>250ml</w:t>
            </w:r>
            <w:r>
              <w:rPr>
                <w:rFonts w:hint="eastAsia"/>
                <w:color w:val="auto"/>
                <w:sz w:val="28"/>
                <w:szCs w:val="36"/>
              </w:rPr>
              <w:t>）</w:t>
            </w:r>
          </w:p>
        </w:tc>
        <w:tc>
          <w:tcPr>
            <w:tcW w:w="1363" w:type="dxa"/>
            <w:vMerge w:val="restart"/>
            <w:vAlign w:val="center"/>
          </w:tcPr>
          <w:p>
            <w:pPr>
              <w:jc w:val="center"/>
              <w:rPr>
                <w:rFonts w:hint="eastAsia"/>
                <w:color w:val="auto"/>
                <w:sz w:val="28"/>
                <w:szCs w:val="36"/>
              </w:rPr>
            </w:pPr>
            <w:r>
              <w:rPr>
                <w:rFonts w:hint="eastAsia"/>
                <w:color w:val="auto"/>
                <w:sz w:val="28"/>
                <w:szCs w:val="36"/>
                <w:lang w:eastAsia="zh-CN"/>
              </w:rPr>
              <w:t>提供一种即可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color w:val="auto"/>
                <w:sz w:val="28"/>
                <w:szCs w:val="36"/>
              </w:rPr>
            </w:pPr>
            <w:r>
              <w:rPr>
                <w:rFonts w:hint="eastAsia" w:ascii="宋体" w:eastAsia="宋体" w:cs="宋体"/>
                <w:color w:val="auto"/>
                <w:kern w:val="0"/>
                <w:sz w:val="28"/>
                <w:szCs w:val="28"/>
              </w:rPr>
              <w:t>豆浆</w:t>
            </w:r>
          </w:p>
        </w:tc>
        <w:tc>
          <w:tcPr>
            <w:tcW w:w="4800" w:type="dxa"/>
          </w:tcPr>
          <w:p>
            <w:pPr>
              <w:jc w:val="center"/>
              <w:rPr>
                <w:color w:val="auto"/>
                <w:sz w:val="28"/>
                <w:szCs w:val="36"/>
              </w:rPr>
            </w:pPr>
            <w:r>
              <w:rPr>
                <w:rFonts w:hint="eastAsia" w:ascii="宋体" w:eastAsia="宋体" w:cs="宋体"/>
                <w:color w:val="auto"/>
                <w:kern w:val="0"/>
                <w:sz w:val="28"/>
                <w:szCs w:val="28"/>
              </w:rPr>
              <w:t>一杯（250ml）</w:t>
            </w:r>
          </w:p>
        </w:tc>
        <w:tc>
          <w:tcPr>
            <w:tcW w:w="1363" w:type="dxa"/>
            <w:vMerge w:val="continue"/>
          </w:tcPr>
          <w:p>
            <w:pPr>
              <w:jc w:val="center"/>
              <w:rPr>
                <w:rFonts w:hint="eastAsia"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rFonts w:ascii="宋体" w:eastAsia="宋体" w:cs="宋体"/>
                <w:color w:val="auto"/>
                <w:kern w:val="0"/>
                <w:sz w:val="28"/>
                <w:szCs w:val="28"/>
              </w:rPr>
            </w:pPr>
            <w:r>
              <w:rPr>
                <w:rFonts w:hint="eastAsia" w:ascii="宋体" w:eastAsia="宋体" w:cs="宋体"/>
                <w:color w:val="auto"/>
                <w:kern w:val="0"/>
                <w:sz w:val="28"/>
                <w:szCs w:val="28"/>
              </w:rPr>
              <w:t>撒汤</w:t>
            </w:r>
          </w:p>
        </w:tc>
        <w:tc>
          <w:tcPr>
            <w:tcW w:w="4800" w:type="dxa"/>
          </w:tcPr>
          <w:p>
            <w:pPr>
              <w:jc w:val="center"/>
              <w:rPr>
                <w:rFonts w:ascii="宋体" w:eastAsia="宋体" w:cs="宋体"/>
                <w:color w:val="auto"/>
                <w:kern w:val="0"/>
                <w:sz w:val="28"/>
                <w:szCs w:val="28"/>
              </w:rPr>
            </w:pPr>
            <w:r>
              <w:rPr>
                <w:rFonts w:hint="eastAsia"/>
                <w:color w:val="auto"/>
                <w:sz w:val="28"/>
                <w:szCs w:val="36"/>
              </w:rPr>
              <w:t>一碗（</w:t>
            </w:r>
            <w:r>
              <w:rPr>
                <w:rFonts w:hint="eastAsia" w:ascii="宋体" w:eastAsia="宋体" w:cs="宋体"/>
                <w:color w:val="auto"/>
                <w:kern w:val="0"/>
                <w:sz w:val="28"/>
                <w:szCs w:val="28"/>
              </w:rPr>
              <w:t>250ml</w:t>
            </w:r>
            <w:r>
              <w:rPr>
                <w:rFonts w:hint="eastAsia"/>
                <w:color w:val="auto"/>
                <w:sz w:val="28"/>
                <w:szCs w:val="36"/>
              </w:rPr>
              <w:t>）</w:t>
            </w:r>
          </w:p>
        </w:tc>
        <w:tc>
          <w:tcPr>
            <w:tcW w:w="1363" w:type="dxa"/>
            <w:vMerge w:val="continue"/>
          </w:tcPr>
          <w:p>
            <w:pPr>
              <w:jc w:val="center"/>
              <w:rPr>
                <w:rFonts w:hint="eastAsia"/>
                <w:color w:val="auto"/>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rFonts w:ascii="宋体" w:eastAsia="宋体" w:cs="宋体"/>
                <w:color w:val="auto"/>
                <w:kern w:val="0"/>
                <w:sz w:val="28"/>
                <w:szCs w:val="28"/>
              </w:rPr>
            </w:pPr>
            <w:r>
              <w:rPr>
                <w:rFonts w:hint="eastAsia" w:ascii="宋体" w:eastAsia="宋体" w:cs="宋体"/>
                <w:color w:val="auto"/>
                <w:kern w:val="0"/>
                <w:sz w:val="28"/>
                <w:szCs w:val="28"/>
              </w:rPr>
              <w:t>牛奶</w:t>
            </w:r>
          </w:p>
        </w:tc>
        <w:tc>
          <w:tcPr>
            <w:tcW w:w="4800" w:type="dxa"/>
          </w:tcPr>
          <w:p>
            <w:pPr>
              <w:jc w:val="center"/>
              <w:rPr>
                <w:rFonts w:ascii="宋体" w:eastAsia="宋体" w:cs="宋体"/>
                <w:color w:val="auto"/>
                <w:kern w:val="0"/>
                <w:sz w:val="28"/>
                <w:szCs w:val="28"/>
              </w:rPr>
            </w:pPr>
            <w:r>
              <w:rPr>
                <w:rFonts w:hint="eastAsia" w:ascii="宋体" w:eastAsia="宋体" w:cs="宋体"/>
                <w:color w:val="auto"/>
                <w:kern w:val="0"/>
                <w:sz w:val="28"/>
                <w:szCs w:val="28"/>
              </w:rPr>
              <w:t>纯牛奶（250ml）不限品牌</w:t>
            </w:r>
          </w:p>
        </w:tc>
        <w:tc>
          <w:tcPr>
            <w:tcW w:w="1363" w:type="dxa"/>
            <w:vMerge w:val="continue"/>
          </w:tcPr>
          <w:p>
            <w:pPr>
              <w:jc w:val="center"/>
              <w:rPr>
                <w:rFonts w:hint="eastAsia"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rFonts w:hint="eastAsia" w:ascii="宋体" w:eastAsia="宋体" w:cs="宋体"/>
                <w:color w:val="auto"/>
                <w:kern w:val="0"/>
                <w:sz w:val="28"/>
                <w:szCs w:val="28"/>
                <w:lang w:eastAsia="zh-CN"/>
              </w:rPr>
            </w:pPr>
            <w:r>
              <w:rPr>
                <w:rFonts w:hint="eastAsia" w:ascii="宋体" w:eastAsia="宋体" w:cs="宋体"/>
                <w:color w:val="auto"/>
                <w:kern w:val="0"/>
                <w:sz w:val="28"/>
                <w:szCs w:val="28"/>
              </w:rPr>
              <w:t>时令</w:t>
            </w:r>
            <w:r>
              <w:rPr>
                <w:rFonts w:hint="eastAsia" w:ascii="宋体" w:eastAsia="宋体" w:cs="宋体"/>
                <w:color w:val="auto"/>
                <w:kern w:val="0"/>
                <w:sz w:val="28"/>
                <w:szCs w:val="28"/>
                <w:lang w:eastAsia="zh-CN"/>
              </w:rPr>
              <w:t>炒蔬菜</w:t>
            </w:r>
          </w:p>
        </w:tc>
        <w:tc>
          <w:tcPr>
            <w:tcW w:w="4800" w:type="dxa"/>
          </w:tcPr>
          <w:p>
            <w:pPr>
              <w:jc w:val="center"/>
              <w:rPr>
                <w:rFonts w:ascii="宋体" w:eastAsia="宋体" w:cs="宋体"/>
                <w:color w:val="auto"/>
                <w:kern w:val="0"/>
                <w:sz w:val="28"/>
                <w:szCs w:val="28"/>
              </w:rPr>
            </w:pPr>
            <w:r>
              <w:rPr>
                <w:rFonts w:hint="eastAsia" w:ascii="宋体" w:eastAsia="宋体" w:cs="宋体"/>
                <w:color w:val="auto"/>
                <w:kern w:val="0"/>
                <w:sz w:val="28"/>
                <w:szCs w:val="28"/>
              </w:rPr>
              <w:t>3种，每种不少于50克</w:t>
            </w:r>
          </w:p>
        </w:tc>
        <w:tc>
          <w:tcPr>
            <w:tcW w:w="1363" w:type="dxa"/>
          </w:tcPr>
          <w:p>
            <w:pPr>
              <w:jc w:val="center"/>
              <w:rPr>
                <w:rFonts w:hint="eastAsia" w:asci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tcPr>
          <w:p>
            <w:pPr>
              <w:jc w:val="center"/>
              <w:rPr>
                <w:rFonts w:ascii="宋体" w:eastAsia="宋体" w:cs="宋体"/>
                <w:color w:val="auto"/>
                <w:kern w:val="0"/>
                <w:sz w:val="28"/>
                <w:szCs w:val="28"/>
              </w:rPr>
            </w:pPr>
            <w:r>
              <w:rPr>
                <w:rFonts w:hint="eastAsia" w:ascii="宋体" w:eastAsia="宋体" w:cs="宋体"/>
                <w:color w:val="auto"/>
                <w:kern w:val="0"/>
                <w:sz w:val="28"/>
                <w:szCs w:val="28"/>
              </w:rPr>
              <w:t>小菜</w:t>
            </w:r>
          </w:p>
        </w:tc>
        <w:tc>
          <w:tcPr>
            <w:tcW w:w="4800" w:type="dxa"/>
          </w:tcPr>
          <w:p>
            <w:pPr>
              <w:jc w:val="center"/>
              <w:rPr>
                <w:rFonts w:ascii="宋体" w:eastAsia="宋体" w:cs="宋体"/>
                <w:color w:val="auto"/>
                <w:kern w:val="0"/>
                <w:sz w:val="28"/>
                <w:szCs w:val="28"/>
              </w:rPr>
            </w:pPr>
            <w:r>
              <w:rPr>
                <w:rFonts w:hint="eastAsia" w:ascii="宋体" w:eastAsia="宋体" w:cs="宋体"/>
                <w:color w:val="auto"/>
                <w:kern w:val="0"/>
                <w:sz w:val="28"/>
                <w:szCs w:val="28"/>
              </w:rPr>
              <w:t>2种，每种不少于10克</w:t>
            </w:r>
          </w:p>
        </w:tc>
        <w:tc>
          <w:tcPr>
            <w:tcW w:w="1363" w:type="dxa"/>
          </w:tcPr>
          <w:p>
            <w:pPr>
              <w:jc w:val="center"/>
              <w:rPr>
                <w:rFonts w:hint="eastAsia" w:ascii="宋体" w:eastAsia="宋体" w:cs="宋体"/>
                <w:color w:val="auto"/>
                <w:kern w:val="0"/>
                <w:sz w:val="28"/>
                <w:szCs w:val="28"/>
              </w:rPr>
            </w:pPr>
          </w:p>
        </w:tc>
      </w:tr>
    </w:tbl>
    <w:p>
      <w:pPr>
        <w:rPr>
          <w:rFonts w:hint="eastAsia" w:eastAsiaTheme="minorEastAsia"/>
          <w:b/>
          <w:bCs/>
          <w:color w:val="auto"/>
          <w:sz w:val="28"/>
          <w:szCs w:val="36"/>
          <w:lang w:eastAsia="zh-CN"/>
        </w:rPr>
      </w:pPr>
      <w:r>
        <w:rPr>
          <w:rFonts w:hint="eastAsia"/>
          <w:b/>
          <w:bCs/>
          <w:color w:val="auto"/>
          <w:sz w:val="28"/>
          <w:szCs w:val="36"/>
          <w:lang w:eastAsia="zh-CN"/>
        </w:rPr>
        <w:t>注：除备注明确提供一种即可外，其他内容根据类别要求提供。</w:t>
      </w:r>
    </w:p>
    <w:p>
      <w:pPr>
        <w:rPr>
          <w:b/>
          <w:bCs/>
          <w:color w:val="auto"/>
          <w:sz w:val="28"/>
          <w:szCs w:val="36"/>
        </w:rPr>
      </w:pPr>
    </w:p>
    <w:p>
      <w:pPr>
        <w:rPr>
          <w:b/>
          <w:bCs/>
          <w:color w:val="auto"/>
          <w:sz w:val="28"/>
          <w:szCs w:val="36"/>
        </w:rPr>
      </w:pPr>
    </w:p>
    <w:p>
      <w:pPr>
        <w:rPr>
          <w:b/>
          <w:bCs/>
          <w:color w:val="auto"/>
          <w:sz w:val="28"/>
          <w:szCs w:val="36"/>
        </w:rPr>
      </w:pPr>
    </w:p>
    <w:p>
      <w:pPr>
        <w:rPr>
          <w:rFonts w:ascii="宋体" w:hAnsi="宋体" w:eastAsia="宋体"/>
          <w:b/>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A1252"/>
    <w:multiLevelType w:val="singleLevel"/>
    <w:tmpl w:val="BF9A1252"/>
    <w:lvl w:ilvl="0" w:tentative="0">
      <w:start w:val="2"/>
      <w:numFmt w:val="decimal"/>
      <w:suff w:val="nothing"/>
      <w:lvlText w:val="%1、"/>
      <w:lvlJc w:val="left"/>
    </w:lvl>
  </w:abstractNum>
  <w:abstractNum w:abstractNumId="1">
    <w:nsid w:val="497C149B"/>
    <w:multiLevelType w:val="singleLevel"/>
    <w:tmpl w:val="497C149B"/>
    <w:lvl w:ilvl="0" w:tentative="0">
      <w:start w:val="3"/>
      <w:numFmt w:val="chineseCounting"/>
      <w:suff w:val="nothing"/>
      <w:lvlText w:val="%1、"/>
      <w:lvlJc w:val="left"/>
      <w:pPr>
        <w:ind w:left="0" w:firstLine="0"/>
      </w:pPr>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iMzU0YWFhOGIzMGNiNjE4YjJjZjgyZGFjNGRlNDMifQ=="/>
  </w:docVars>
  <w:rsids>
    <w:rsidRoot w:val="78643C41"/>
    <w:rsid w:val="000065A3"/>
    <w:rsid w:val="00012D8E"/>
    <w:rsid w:val="000238F3"/>
    <w:rsid w:val="00036122"/>
    <w:rsid w:val="00076E9C"/>
    <w:rsid w:val="00082181"/>
    <w:rsid w:val="000A5CC4"/>
    <w:rsid w:val="000B3785"/>
    <w:rsid w:val="000B68B4"/>
    <w:rsid w:val="000C4657"/>
    <w:rsid w:val="000D3BD3"/>
    <w:rsid w:val="000E392E"/>
    <w:rsid w:val="000E7482"/>
    <w:rsid w:val="000F34C2"/>
    <w:rsid w:val="00107D70"/>
    <w:rsid w:val="00110F95"/>
    <w:rsid w:val="001157AF"/>
    <w:rsid w:val="0013355A"/>
    <w:rsid w:val="00137F6D"/>
    <w:rsid w:val="00141222"/>
    <w:rsid w:val="00154F80"/>
    <w:rsid w:val="00163143"/>
    <w:rsid w:val="00191B26"/>
    <w:rsid w:val="001A7511"/>
    <w:rsid w:val="001A7B1A"/>
    <w:rsid w:val="001D5B5D"/>
    <w:rsid w:val="001E1F69"/>
    <w:rsid w:val="00235B9C"/>
    <w:rsid w:val="002447C4"/>
    <w:rsid w:val="00254BF3"/>
    <w:rsid w:val="00276871"/>
    <w:rsid w:val="002815BE"/>
    <w:rsid w:val="002936E2"/>
    <w:rsid w:val="002B4AF9"/>
    <w:rsid w:val="002C1B25"/>
    <w:rsid w:val="002C7E1F"/>
    <w:rsid w:val="002D046B"/>
    <w:rsid w:val="002E1E80"/>
    <w:rsid w:val="002E51F3"/>
    <w:rsid w:val="00304410"/>
    <w:rsid w:val="00331D1C"/>
    <w:rsid w:val="00336811"/>
    <w:rsid w:val="0033794F"/>
    <w:rsid w:val="003561D1"/>
    <w:rsid w:val="0035722E"/>
    <w:rsid w:val="0036624F"/>
    <w:rsid w:val="00380D49"/>
    <w:rsid w:val="00390D75"/>
    <w:rsid w:val="00391519"/>
    <w:rsid w:val="00393FB9"/>
    <w:rsid w:val="003B49EA"/>
    <w:rsid w:val="003B67C0"/>
    <w:rsid w:val="003B7149"/>
    <w:rsid w:val="003C6EC9"/>
    <w:rsid w:val="003D1437"/>
    <w:rsid w:val="003F08F8"/>
    <w:rsid w:val="00400712"/>
    <w:rsid w:val="004015F8"/>
    <w:rsid w:val="004102FE"/>
    <w:rsid w:val="0041105C"/>
    <w:rsid w:val="00411539"/>
    <w:rsid w:val="004125A5"/>
    <w:rsid w:val="00415C7E"/>
    <w:rsid w:val="00420311"/>
    <w:rsid w:val="004377CF"/>
    <w:rsid w:val="00463218"/>
    <w:rsid w:val="00487EC9"/>
    <w:rsid w:val="00493E87"/>
    <w:rsid w:val="004A4523"/>
    <w:rsid w:val="004B505F"/>
    <w:rsid w:val="004B5FF5"/>
    <w:rsid w:val="004C591E"/>
    <w:rsid w:val="004E4EFB"/>
    <w:rsid w:val="0050325F"/>
    <w:rsid w:val="00507B62"/>
    <w:rsid w:val="00517479"/>
    <w:rsid w:val="00525058"/>
    <w:rsid w:val="00527133"/>
    <w:rsid w:val="0057120B"/>
    <w:rsid w:val="00572350"/>
    <w:rsid w:val="005766C3"/>
    <w:rsid w:val="00584BE1"/>
    <w:rsid w:val="0059016F"/>
    <w:rsid w:val="00591072"/>
    <w:rsid w:val="005A0774"/>
    <w:rsid w:val="005B0FEC"/>
    <w:rsid w:val="005D097A"/>
    <w:rsid w:val="005F02BA"/>
    <w:rsid w:val="005F7064"/>
    <w:rsid w:val="00621915"/>
    <w:rsid w:val="00621BDD"/>
    <w:rsid w:val="00642A9E"/>
    <w:rsid w:val="00645AB6"/>
    <w:rsid w:val="0065663C"/>
    <w:rsid w:val="0066217A"/>
    <w:rsid w:val="00664281"/>
    <w:rsid w:val="006769AE"/>
    <w:rsid w:val="00677F4E"/>
    <w:rsid w:val="00695496"/>
    <w:rsid w:val="006B49BD"/>
    <w:rsid w:val="006E63E5"/>
    <w:rsid w:val="006E6A99"/>
    <w:rsid w:val="00702BE6"/>
    <w:rsid w:val="007171A0"/>
    <w:rsid w:val="007369B6"/>
    <w:rsid w:val="007452C6"/>
    <w:rsid w:val="00753F72"/>
    <w:rsid w:val="00756B34"/>
    <w:rsid w:val="00757853"/>
    <w:rsid w:val="007638E5"/>
    <w:rsid w:val="0078054A"/>
    <w:rsid w:val="00785FAB"/>
    <w:rsid w:val="00790B1E"/>
    <w:rsid w:val="007A6E1E"/>
    <w:rsid w:val="007C1A47"/>
    <w:rsid w:val="007F3328"/>
    <w:rsid w:val="007F6152"/>
    <w:rsid w:val="00842853"/>
    <w:rsid w:val="008502C0"/>
    <w:rsid w:val="0085643E"/>
    <w:rsid w:val="00875F59"/>
    <w:rsid w:val="00880276"/>
    <w:rsid w:val="00890911"/>
    <w:rsid w:val="008D2B3D"/>
    <w:rsid w:val="008E2720"/>
    <w:rsid w:val="008F019B"/>
    <w:rsid w:val="00913EBF"/>
    <w:rsid w:val="009148F7"/>
    <w:rsid w:val="00943067"/>
    <w:rsid w:val="00946F95"/>
    <w:rsid w:val="00983A00"/>
    <w:rsid w:val="0098485C"/>
    <w:rsid w:val="00986EE1"/>
    <w:rsid w:val="00992E19"/>
    <w:rsid w:val="009A2E2A"/>
    <w:rsid w:val="009D3E70"/>
    <w:rsid w:val="009D77FE"/>
    <w:rsid w:val="009E5E77"/>
    <w:rsid w:val="009E6215"/>
    <w:rsid w:val="009F733A"/>
    <w:rsid w:val="00A06DC7"/>
    <w:rsid w:val="00A13B0B"/>
    <w:rsid w:val="00A33B54"/>
    <w:rsid w:val="00A352EA"/>
    <w:rsid w:val="00A46D41"/>
    <w:rsid w:val="00A521A9"/>
    <w:rsid w:val="00A52E9A"/>
    <w:rsid w:val="00A8172E"/>
    <w:rsid w:val="00A84A32"/>
    <w:rsid w:val="00A864D1"/>
    <w:rsid w:val="00AE7770"/>
    <w:rsid w:val="00AF0BF3"/>
    <w:rsid w:val="00AF34B8"/>
    <w:rsid w:val="00B0518D"/>
    <w:rsid w:val="00B0548D"/>
    <w:rsid w:val="00B42D25"/>
    <w:rsid w:val="00B44E35"/>
    <w:rsid w:val="00B66398"/>
    <w:rsid w:val="00B71AEB"/>
    <w:rsid w:val="00B77605"/>
    <w:rsid w:val="00B87C9C"/>
    <w:rsid w:val="00B90491"/>
    <w:rsid w:val="00B91351"/>
    <w:rsid w:val="00BC4E41"/>
    <w:rsid w:val="00BF020E"/>
    <w:rsid w:val="00C1582A"/>
    <w:rsid w:val="00C34914"/>
    <w:rsid w:val="00C44825"/>
    <w:rsid w:val="00C453E7"/>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614F"/>
    <w:rsid w:val="00D27B90"/>
    <w:rsid w:val="00D372D6"/>
    <w:rsid w:val="00D6477A"/>
    <w:rsid w:val="00D67424"/>
    <w:rsid w:val="00D67979"/>
    <w:rsid w:val="00D67F1C"/>
    <w:rsid w:val="00D94EE9"/>
    <w:rsid w:val="00DA1543"/>
    <w:rsid w:val="00DA4537"/>
    <w:rsid w:val="00DD0018"/>
    <w:rsid w:val="00DE11DC"/>
    <w:rsid w:val="00DE1474"/>
    <w:rsid w:val="00DE5279"/>
    <w:rsid w:val="00DE649C"/>
    <w:rsid w:val="00E0657D"/>
    <w:rsid w:val="00E30FA4"/>
    <w:rsid w:val="00E353B8"/>
    <w:rsid w:val="00E35E5F"/>
    <w:rsid w:val="00E4585F"/>
    <w:rsid w:val="00E56757"/>
    <w:rsid w:val="00E72693"/>
    <w:rsid w:val="00E82A5F"/>
    <w:rsid w:val="00ED202F"/>
    <w:rsid w:val="00ED35B5"/>
    <w:rsid w:val="00ED5367"/>
    <w:rsid w:val="00ED5980"/>
    <w:rsid w:val="00ED6848"/>
    <w:rsid w:val="00EE0E39"/>
    <w:rsid w:val="00EE18CC"/>
    <w:rsid w:val="00EF46F1"/>
    <w:rsid w:val="00F06907"/>
    <w:rsid w:val="00F21244"/>
    <w:rsid w:val="00F274A9"/>
    <w:rsid w:val="00F37184"/>
    <w:rsid w:val="00F567A9"/>
    <w:rsid w:val="00F60AC6"/>
    <w:rsid w:val="00F62B07"/>
    <w:rsid w:val="00F73BED"/>
    <w:rsid w:val="00FB0914"/>
    <w:rsid w:val="00FC7088"/>
    <w:rsid w:val="00FD0ED4"/>
    <w:rsid w:val="00FE20E4"/>
    <w:rsid w:val="00FE428A"/>
    <w:rsid w:val="018E1C83"/>
    <w:rsid w:val="01F1255F"/>
    <w:rsid w:val="068E1AA1"/>
    <w:rsid w:val="08BD7A62"/>
    <w:rsid w:val="09586CBC"/>
    <w:rsid w:val="09AF25BF"/>
    <w:rsid w:val="09F04108"/>
    <w:rsid w:val="0A4D253F"/>
    <w:rsid w:val="0BDD2479"/>
    <w:rsid w:val="0D475EFD"/>
    <w:rsid w:val="0E7F596A"/>
    <w:rsid w:val="0F1E662A"/>
    <w:rsid w:val="10513BDA"/>
    <w:rsid w:val="137E1A6A"/>
    <w:rsid w:val="13B8284B"/>
    <w:rsid w:val="13FB5426"/>
    <w:rsid w:val="14C87D06"/>
    <w:rsid w:val="18F00BDC"/>
    <w:rsid w:val="1A1A5FF4"/>
    <w:rsid w:val="1D714C72"/>
    <w:rsid w:val="20D35B4F"/>
    <w:rsid w:val="25105B71"/>
    <w:rsid w:val="2B101B65"/>
    <w:rsid w:val="2B595112"/>
    <w:rsid w:val="2EA824B0"/>
    <w:rsid w:val="318E0B9C"/>
    <w:rsid w:val="31A50E8F"/>
    <w:rsid w:val="32584535"/>
    <w:rsid w:val="37D201A2"/>
    <w:rsid w:val="393477F7"/>
    <w:rsid w:val="39782124"/>
    <w:rsid w:val="3C805447"/>
    <w:rsid w:val="3C81422C"/>
    <w:rsid w:val="3FF43E0D"/>
    <w:rsid w:val="42C66191"/>
    <w:rsid w:val="459B2FD2"/>
    <w:rsid w:val="46E069C0"/>
    <w:rsid w:val="46EB031E"/>
    <w:rsid w:val="4B601940"/>
    <w:rsid w:val="4BA01CF1"/>
    <w:rsid w:val="4E131916"/>
    <w:rsid w:val="4FB923D4"/>
    <w:rsid w:val="50D24078"/>
    <w:rsid w:val="50EE4EC8"/>
    <w:rsid w:val="52AB1A62"/>
    <w:rsid w:val="53865B20"/>
    <w:rsid w:val="54B2440D"/>
    <w:rsid w:val="55010662"/>
    <w:rsid w:val="562A5A3C"/>
    <w:rsid w:val="563D4AAF"/>
    <w:rsid w:val="56C35AD8"/>
    <w:rsid w:val="57450DE7"/>
    <w:rsid w:val="587A22DE"/>
    <w:rsid w:val="58EE3B88"/>
    <w:rsid w:val="5C156712"/>
    <w:rsid w:val="5CA67410"/>
    <w:rsid w:val="5D7F01E0"/>
    <w:rsid w:val="5EBF3175"/>
    <w:rsid w:val="60E73F3C"/>
    <w:rsid w:val="6223378D"/>
    <w:rsid w:val="625F6B69"/>
    <w:rsid w:val="63EC7AA0"/>
    <w:rsid w:val="65374789"/>
    <w:rsid w:val="65B031D7"/>
    <w:rsid w:val="67446456"/>
    <w:rsid w:val="6BEE2497"/>
    <w:rsid w:val="6C3149D2"/>
    <w:rsid w:val="6CE150BD"/>
    <w:rsid w:val="6DCF41C1"/>
    <w:rsid w:val="6FFF6668"/>
    <w:rsid w:val="70B406CF"/>
    <w:rsid w:val="718B7C5E"/>
    <w:rsid w:val="71C546DD"/>
    <w:rsid w:val="731E61F8"/>
    <w:rsid w:val="735E4C44"/>
    <w:rsid w:val="73F12E39"/>
    <w:rsid w:val="756F6749"/>
    <w:rsid w:val="77BB684C"/>
    <w:rsid w:val="78643C41"/>
    <w:rsid w:val="78D82CB1"/>
    <w:rsid w:val="78DF6600"/>
    <w:rsid w:val="7AA313FC"/>
    <w:rsid w:val="7B1E1EC9"/>
    <w:rsid w:val="7DC277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6"/>
    <w:qFormat/>
    <w:uiPriority w:val="0"/>
    <w:pPr>
      <w:keepNext/>
      <w:keepLines/>
      <w:spacing w:before="260" w:after="260" w:line="415" w:lineRule="auto"/>
      <w:outlineLvl w:val="2"/>
    </w:pPr>
    <w:rPr>
      <w:b/>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rPr>
      <w:rFonts w:ascii="Times New Roman" w:hAnsi="Times New Roman" w:cs="Times New Roman"/>
      <w:sz w:val="21"/>
    </w:rPr>
  </w:style>
  <w:style w:type="paragraph" w:styleId="3">
    <w:name w:val="Body Text Indent"/>
    <w:basedOn w:val="1"/>
    <w:next w:val="4"/>
    <w:qFormat/>
    <w:uiPriority w:val="0"/>
    <w:pPr>
      <w:ind w:left="630"/>
    </w:pPr>
    <w:rPr>
      <w:rFonts w:ascii="仿宋_GB2312" w:eastAsia="仿宋_GB2312"/>
      <w:sz w:val="32"/>
      <w:szCs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rPr>
      <w:szCs w:val="20"/>
    </w:rPr>
  </w:style>
  <w:style w:type="paragraph" w:styleId="9">
    <w:name w:val="annotation text"/>
    <w:basedOn w:val="1"/>
    <w:semiHidden/>
    <w:qFormat/>
    <w:uiPriority w:val="0"/>
    <w:pPr>
      <w:jc w:val="left"/>
    </w:pPr>
    <w:rPr>
      <w:szCs w:val="20"/>
    </w:rPr>
  </w:style>
  <w:style w:type="paragraph" w:styleId="10">
    <w:name w:val="List Continue"/>
    <w:basedOn w:val="1"/>
    <w:qFormat/>
    <w:uiPriority w:val="0"/>
    <w:pPr>
      <w:spacing w:after="120"/>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Indent 3"/>
    <w:basedOn w:val="1"/>
    <w:qFormat/>
    <w:uiPriority w:val="0"/>
    <w:pPr>
      <w:spacing w:line="560" w:lineRule="exact"/>
      <w:ind w:left="735" w:leftChars="350"/>
    </w:pPr>
    <w:rPr>
      <w:rFonts w:eastAsia="仿宋_GB2312"/>
      <w:sz w:val="32"/>
      <w:szCs w:val="20"/>
    </w:rPr>
  </w:style>
  <w:style w:type="paragraph" w:styleId="14">
    <w:name w:val="Body Text 2"/>
    <w:basedOn w:val="1"/>
    <w:qFormat/>
    <w:uiPriority w:val="99"/>
    <w:pPr>
      <w:jc w:val="center"/>
    </w:pPr>
    <w:rPr>
      <w:rFonts w:ascii="Times New Roman" w:hAnsi="Times New Roman" w:cs="Times New Roman"/>
      <w:sz w:val="28"/>
      <w:szCs w:val="2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000FF"/>
      <w:u w:val="single"/>
    </w:rPr>
  </w:style>
  <w:style w:type="character" w:customStyle="1" w:styleId="20">
    <w:name w:val="font01"/>
    <w:basedOn w:val="18"/>
    <w:qFormat/>
    <w:uiPriority w:val="0"/>
    <w:rPr>
      <w:rFonts w:hint="eastAsia" w:ascii="宋体" w:hAnsi="宋体" w:eastAsia="宋体" w:cs="宋体"/>
      <w:color w:val="000000"/>
      <w:sz w:val="24"/>
      <w:szCs w:val="24"/>
      <w:u w:val="none"/>
    </w:rPr>
  </w:style>
  <w:style w:type="paragraph" w:customStyle="1" w:styleId="21">
    <w:name w:val="列出段落1"/>
    <w:basedOn w:val="1"/>
    <w:unhideWhenUsed/>
    <w:qFormat/>
    <w:uiPriority w:val="99"/>
    <w:pPr>
      <w:ind w:firstLine="420" w:firstLineChars="200"/>
    </w:pPr>
  </w:style>
  <w:style w:type="paragraph" w:customStyle="1" w:styleId="22">
    <w:name w:val="cui-prof"/>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
    <w:name w:val="列出段落11"/>
    <w:basedOn w:val="1"/>
    <w:qFormat/>
    <w:uiPriority w:val="99"/>
    <w:pPr>
      <w:ind w:firstLine="420" w:firstLineChars="200"/>
    </w:pPr>
  </w:style>
  <w:style w:type="paragraph" w:customStyle="1" w:styleId="24">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6362</Words>
  <Characters>6614</Characters>
  <Lines>48</Lines>
  <Paragraphs>13</Paragraphs>
  <TotalTime>0</TotalTime>
  <ScaleCrop>false</ScaleCrop>
  <LinksUpToDate>false</LinksUpToDate>
  <CharactersWithSpaces>6887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2021-09-23T03:18:00Z</dcterms:created>
  <dc:creator>影风</dc:creator>
  <cp:lastModifiedBy>尘土</cp:lastModifiedBy>
  <cp:lastPrinted>2021-10-28T03:04:00Z</cp:lastPrinted>
  <dcterms:modified xsi:type="dcterms:W3CDTF">2023-08-15T10:13:19Z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9062E648BFB5471E99F0AE58A8255D2D</vt:lpwstr>
  </property>
</Properties>
</file>